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066AC">
      <w:pPr>
        <w:keepNext/>
        <w:keepLines/>
        <w:widowControl w:val="0"/>
        <w:spacing w:before="0" w:after="0" w:line="360" w:lineRule="auto"/>
        <w:jc w:val="center"/>
        <w:outlineLvl w:val="0"/>
        <w:rPr>
          <w:rFonts w:ascii="宋体" w:hAnsi="宋体" w:eastAsia="宋体" w:cs="Times New Roman"/>
          <w:b/>
          <w:kern w:val="44"/>
          <w:sz w:val="32"/>
          <w:szCs w:val="20"/>
          <w:lang w:val="zh-CN" w:eastAsia="zh-CN" w:bidi="ar-SA"/>
        </w:rPr>
      </w:pPr>
      <w:r>
        <w:rPr>
          <w:rFonts w:hint="eastAsia" w:ascii="宋体" w:hAnsi="宋体" w:eastAsia="宋体" w:cs="Times New Roman"/>
          <w:b/>
          <w:kern w:val="44"/>
          <w:sz w:val="32"/>
          <w:szCs w:val="20"/>
          <w:lang w:val="zh-CN" w:eastAsia="zh-CN" w:bidi="ar-SA"/>
        </w:rPr>
        <w:t>用户需求</w:t>
      </w:r>
    </w:p>
    <w:p w14:paraId="41A009C1">
      <w:pPr>
        <w:widowControl w:val="0"/>
        <w:numPr>
          <w:ilvl w:val="0"/>
          <w:numId w:val="2"/>
        </w:numPr>
        <w:spacing w:before="156" w:beforeLines="50" w:after="156" w:afterLines="50"/>
        <w:ind w:left="510" w:hanging="510"/>
        <w:jc w:val="both"/>
        <w:rPr>
          <w:rFonts w:ascii="Times New Roman" w:hAnsi="Times New Roman" w:eastAsia="宋体" w:cs="Times New Roman"/>
          <w:b/>
          <w:bCs/>
          <w:kern w:val="2"/>
          <w:sz w:val="21"/>
          <w:szCs w:val="21"/>
          <w:lang w:val="en-US" w:eastAsia="zh-CN" w:bidi="ar-SA"/>
        </w:rPr>
      </w:pPr>
      <w:r>
        <w:rPr>
          <w:rFonts w:hint="eastAsia" w:ascii="Times New Roman" w:hAnsi="Times New Roman" w:eastAsia="宋体" w:cs="Times New Roman"/>
          <w:b/>
          <w:bCs/>
          <w:kern w:val="2"/>
          <w:sz w:val="21"/>
          <w:szCs w:val="21"/>
          <w:lang w:val="en-US" w:eastAsia="zh-CN" w:bidi="ar-SA"/>
        </w:rPr>
        <w:t>项目概况</w:t>
      </w:r>
    </w:p>
    <w:p w14:paraId="2D11C171">
      <w:pPr>
        <w:widowControl w:val="0"/>
        <w:numPr>
          <w:ilvl w:val="0"/>
          <w:numId w:val="0"/>
        </w:numPr>
        <w:adjustRightInd w:val="0"/>
        <w:snapToGrid w:val="0"/>
        <w:spacing w:before="156" w:beforeLines="50" w:line="360" w:lineRule="auto"/>
        <w:ind w:left="510" w:firstLine="0" w:firstLineChars="0"/>
        <w:jc w:val="both"/>
        <w:outlineLvl w:val="2"/>
        <w:rPr>
          <w:rFonts w:ascii="宋体" w:hAnsi="宋体" w:eastAsia="宋体" w:cs="宋体"/>
          <w:b/>
          <w:kern w:val="2"/>
          <w:sz w:val="21"/>
          <w:szCs w:val="24"/>
          <w:lang w:val="en-US" w:eastAsia="zh-CN" w:bidi="ar-SA"/>
        </w:rPr>
      </w:pPr>
      <w:r>
        <w:rPr>
          <w:rFonts w:hint="eastAsia" w:ascii="宋体" w:hAnsi="宋体" w:eastAsia="宋体" w:cs="宋体"/>
          <w:b/>
          <w:kern w:val="2"/>
          <w:sz w:val="21"/>
          <w:szCs w:val="24"/>
          <w:lang w:val="en-US" w:eastAsia="zh-CN" w:bidi="ar-SA"/>
        </w:rPr>
        <w:t>（一）项目概况</w:t>
      </w:r>
    </w:p>
    <w:p w14:paraId="1439E455">
      <w:pPr>
        <w:spacing w:line="360" w:lineRule="auto"/>
        <w:ind w:firstLine="420" w:firstLineChars="200"/>
        <w:rPr>
          <w:rFonts w:hint="eastAsia" w:ascii="宋体" w:hAnsi="宋体" w:cs="宋体"/>
          <w:szCs w:val="21"/>
        </w:rPr>
      </w:pPr>
      <w:r>
        <w:rPr>
          <w:rFonts w:hint="eastAsia" w:ascii="宋体" w:hAnsi="宋体" w:cs="宋体"/>
          <w:szCs w:val="21"/>
        </w:rPr>
        <w:t>目前</w:t>
      </w:r>
      <w:r>
        <w:rPr>
          <w:rFonts w:hint="eastAsia" w:ascii="宋体" w:hAnsi="宋体" w:cs="宋体"/>
          <w:szCs w:val="21"/>
          <w:lang w:val="en-US" w:eastAsia="zh-CN"/>
        </w:rPr>
        <w:t>华南农业大学</w:t>
      </w:r>
      <w:r>
        <w:rPr>
          <w:rFonts w:hint="eastAsia" w:ascii="宋体" w:hAnsi="宋体" w:cs="宋体"/>
          <w:szCs w:val="21"/>
        </w:rPr>
        <w:t>第五教学楼B栋的部分课桌椅和食品学院公共课室课桌椅是塑胶座椅配刨花板桌面，已使用超20年，大多数课桌椅都老化严重，座位存在污损泛黄、胶粒脱落、倾斜断裂等现象。根据学校下拨的课桌椅更新经费情况，拟对上述共17个课室里过于破旧的课桌椅进行更新，总预算为：143.33万元，更换的课桌椅数量为2606位，所有课桌椅要求2026年8月10日前投入使用。</w:t>
      </w:r>
    </w:p>
    <w:p w14:paraId="2AFA87FF">
      <w:pPr>
        <w:spacing w:line="360" w:lineRule="auto"/>
        <w:ind w:firstLine="420" w:firstLineChars="200"/>
        <w:rPr>
          <w:rFonts w:ascii="宋体" w:hAnsi="宋体" w:cs="宋体"/>
          <w:szCs w:val="21"/>
        </w:rPr>
      </w:pPr>
      <w:r>
        <w:rPr>
          <w:rFonts w:hint="eastAsia" w:ascii="宋体" w:hAnsi="宋体" w:cs="宋体"/>
          <w:szCs w:val="21"/>
        </w:rPr>
        <w:t>以上17个课室均为阶梯课室，座位排列大部分为“3+8+3”或“3+7+3”，还有两间分别是“4+8+4”和“9+3”，合计前排数235位，后排数235位，中排数2371位。每个阶梯深度3000mm或1000mm，故阶梯位置的课桌椅排距需设置为1000mm（若存在部分位置空间不足的，安装时可自行合理适当调整）。中标人在货物生产前需到现场实地测量并绘制课桌椅排位图，经用户确认后方可进行生产和安装。</w:t>
      </w:r>
    </w:p>
    <w:p w14:paraId="42619CFD">
      <w:pPr>
        <w:spacing w:line="360" w:lineRule="auto"/>
        <w:ind w:firstLine="422" w:firstLineChars="200"/>
        <w:rPr>
          <w:rFonts w:ascii="宋体" w:hAnsi="宋体" w:cs="宋体"/>
          <w:b/>
          <w:bCs/>
          <w:szCs w:val="21"/>
        </w:rPr>
      </w:pPr>
      <w:r>
        <w:rPr>
          <w:rFonts w:hint="eastAsia" w:ascii="宋体" w:hAnsi="宋体" w:cs="宋体"/>
          <w:b/>
          <w:szCs w:val="21"/>
        </w:rPr>
        <w:t>（二）</w:t>
      </w:r>
      <w:r>
        <w:rPr>
          <w:rFonts w:hint="eastAsia" w:ascii="宋体" w:hAnsi="宋体" w:cs="宋体"/>
          <w:b/>
          <w:bCs/>
          <w:szCs w:val="21"/>
        </w:rPr>
        <w:t xml:space="preserve">固定课桌椅参考附图（具体尺寸、颜色以技术参数及配置要求表为准） </w:t>
      </w:r>
    </w:p>
    <w:p w14:paraId="704E221C">
      <w:pPr>
        <w:spacing w:line="360" w:lineRule="auto"/>
        <w:ind w:firstLine="422" w:firstLineChars="200"/>
        <w:rPr>
          <w:rFonts w:ascii="宋体" w:hAnsi="宋体" w:cs="宋体"/>
          <w:b/>
          <w:bCs/>
          <w:szCs w:val="21"/>
        </w:rPr>
      </w:pPr>
      <w:r>
        <w:rPr>
          <w:rFonts w:hint="eastAsia" w:ascii="宋体" w:hAnsi="宋体" w:cs="宋体"/>
          <w:b/>
          <w:bCs/>
          <w:szCs w:val="21"/>
        </w:rPr>
        <w:t>功能尺寸参考：</w:t>
      </w:r>
    </w:p>
    <w:p w14:paraId="109997FE">
      <w:pPr>
        <w:jc w:val="both"/>
      </w:pPr>
      <w:r>
        <w:drawing>
          <wp:inline distT="0" distB="0" distL="114300" distR="114300">
            <wp:extent cx="5508625" cy="3315970"/>
            <wp:effectExtent l="0" t="0" r="15875" b="17780"/>
            <wp:docPr id="1" name="图片 9" descr="课桌椅排距1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descr="课桌椅排距1米"/>
                    <pic:cNvPicPr>
                      <a:picLocks noChangeAspect="1"/>
                    </pic:cNvPicPr>
                  </pic:nvPicPr>
                  <pic:blipFill>
                    <a:blip r:embed="rId4"/>
                    <a:stretch>
                      <a:fillRect/>
                    </a:stretch>
                  </pic:blipFill>
                  <pic:spPr>
                    <a:xfrm>
                      <a:off x="0" y="0"/>
                      <a:ext cx="5508625" cy="3315970"/>
                    </a:xfrm>
                    <a:prstGeom prst="rect">
                      <a:avLst/>
                    </a:prstGeom>
                    <a:noFill/>
                    <a:ln w="9525">
                      <a:noFill/>
                    </a:ln>
                  </pic:spPr>
                </pic:pic>
              </a:graphicData>
            </a:graphic>
          </wp:inline>
        </w:drawing>
      </w:r>
    </w:p>
    <w:p w14:paraId="6B233339">
      <w:pPr>
        <w:spacing w:line="360" w:lineRule="auto"/>
        <w:rPr>
          <w:rFonts w:ascii="宋体" w:hAnsi="宋体" w:cs="宋体"/>
          <w:b/>
          <w:bCs/>
          <w:szCs w:val="21"/>
        </w:rPr>
      </w:pPr>
      <w:r>
        <w:drawing>
          <wp:inline distT="0" distB="0" distL="114300" distR="114300">
            <wp:extent cx="5138420" cy="3070225"/>
            <wp:effectExtent l="0" t="0" r="5080" b="15875"/>
            <wp:docPr id="5" name="图片 4" descr="说明: D:\WeiXin\WeChat Files\lin13539749720\FileStorage\Temp\0e79299c6a02c7f4f52772ca23b0b5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说明: D:\WeiXin\WeChat Files\lin13539749720\FileStorage\Temp\0e79299c6a02c7f4f52772ca23b0b5d.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138420" cy="3070225"/>
                    </a:xfrm>
                    <a:prstGeom prst="rect">
                      <a:avLst/>
                    </a:prstGeom>
                    <a:noFill/>
                    <a:ln>
                      <a:noFill/>
                    </a:ln>
                  </pic:spPr>
                </pic:pic>
              </a:graphicData>
            </a:graphic>
          </wp:inline>
        </w:drawing>
      </w:r>
    </w:p>
    <w:p w14:paraId="046BC203">
      <w:pPr>
        <w:spacing w:line="360" w:lineRule="auto"/>
        <w:ind w:firstLine="422" w:firstLineChars="200"/>
        <w:rPr>
          <w:rFonts w:ascii="宋体" w:hAnsi="宋体" w:cs="宋体"/>
          <w:b/>
          <w:bCs/>
          <w:szCs w:val="21"/>
        </w:rPr>
      </w:pPr>
      <w:r>
        <w:rPr>
          <w:rFonts w:hint="eastAsia" w:ascii="宋体" w:hAnsi="宋体" w:cs="宋体"/>
          <w:b/>
          <w:bCs/>
          <w:szCs w:val="21"/>
        </w:rPr>
        <w:t>实物图参考：</w:t>
      </w:r>
    </w:p>
    <w:p w14:paraId="0694F75D">
      <w:pPr>
        <w:jc w:val="center"/>
      </w:pPr>
      <w:r>
        <w:drawing>
          <wp:inline distT="0" distB="0" distL="114300" distR="114300">
            <wp:extent cx="5590540" cy="3517900"/>
            <wp:effectExtent l="0" t="0" r="10160" b="6350"/>
            <wp:docPr id="6" name="图片 1" descr="说明: D:\WeiXin\WeChat Files\lin13539749720\FileStorage\Temp\08743689ab82bbea02723703383b0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说明: D:\WeiXin\WeChat Files\lin13539749720\FileStorage\Temp\08743689ab82bbea02723703383b08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590540" cy="3517900"/>
                    </a:xfrm>
                    <a:prstGeom prst="rect">
                      <a:avLst/>
                    </a:prstGeom>
                    <a:noFill/>
                    <a:ln>
                      <a:noFill/>
                    </a:ln>
                  </pic:spPr>
                </pic:pic>
              </a:graphicData>
            </a:graphic>
          </wp:inline>
        </w:drawing>
      </w:r>
    </w:p>
    <w:p w14:paraId="576A4C8F">
      <w:pPr>
        <w:ind w:firstLine="422" w:firstLineChars="200"/>
        <w:jc w:val="left"/>
        <w:rPr>
          <w:rFonts w:hint="eastAsia" w:ascii="宋体" w:hAnsi="宋体" w:cs="宋体"/>
          <w:b/>
          <w:bCs/>
          <w:szCs w:val="21"/>
        </w:rPr>
      </w:pPr>
      <w:r>
        <w:rPr>
          <w:rFonts w:hint="eastAsia" w:ascii="宋体" w:hAnsi="宋体" w:cs="宋体"/>
          <w:b/>
          <w:bCs/>
          <w:szCs w:val="21"/>
        </w:rPr>
        <w:t>说明：以上均为参考图样，各投标人可以根据自己的生产工艺要求，提供目前款式先进、用料足称、稳固坚固、使用人性化、符合人体工程学的产品。</w:t>
      </w:r>
    </w:p>
    <w:p w14:paraId="1BA496CB">
      <w:pPr>
        <w:ind w:firstLine="422" w:firstLineChars="200"/>
        <w:jc w:val="left"/>
        <w:rPr>
          <w:rFonts w:hint="eastAsia" w:ascii="宋体" w:hAnsi="宋体" w:cs="宋体"/>
          <w:b/>
          <w:bCs/>
          <w:szCs w:val="21"/>
        </w:rPr>
      </w:pPr>
    </w:p>
    <w:p w14:paraId="2394F056">
      <w:pPr>
        <w:rPr>
          <w:b/>
          <w:bCs/>
        </w:rPr>
      </w:pPr>
      <w:r>
        <w:rPr>
          <w:b/>
          <w:bCs/>
        </w:rPr>
        <w:t>采购包1（</w:t>
      </w:r>
      <w:r>
        <w:rPr>
          <w:rFonts w:hint="eastAsia"/>
          <w:b/>
          <w:bCs/>
          <w:lang w:eastAsia="zh-CN"/>
        </w:rPr>
        <w:t>2026年课桌椅采购</w:t>
      </w:r>
      <w:r>
        <w:rPr>
          <w:b/>
          <w:bCs/>
        </w:rPr>
        <w:t xml:space="preserve">）： </w:t>
      </w:r>
    </w:p>
    <w:p w14:paraId="4FAD6954">
      <w:pPr>
        <w:widowControl w:val="0"/>
        <w:numPr>
          <w:ilvl w:val="0"/>
          <w:numId w:val="0"/>
        </w:numPr>
        <w:spacing w:before="156" w:beforeLines="50" w:after="156" w:afterLines="50"/>
        <w:jc w:val="both"/>
        <w:rPr>
          <w:rFonts w:ascii="宋体" w:hAnsi="宋体" w:eastAsia="宋体" w:cs="Times New Roman"/>
          <w:b/>
          <w:bCs/>
          <w:kern w:val="2"/>
          <w:sz w:val="24"/>
          <w:szCs w:val="32"/>
          <w:lang w:val="en-US" w:eastAsia="zh-CN" w:bidi="ar-SA"/>
        </w:rPr>
      </w:pPr>
      <w:r>
        <w:rPr>
          <w:rFonts w:hint="eastAsia" w:ascii="宋体" w:hAnsi="宋体" w:eastAsia="宋体" w:cs="Times New Roman"/>
          <w:b/>
          <w:bCs/>
          <w:kern w:val="2"/>
          <w:sz w:val="24"/>
          <w:szCs w:val="32"/>
          <w:lang w:val="en-US" w:eastAsia="zh-CN" w:bidi="ar-SA"/>
        </w:rPr>
        <w:t>1.主要商务要求</w:t>
      </w:r>
    </w:p>
    <w:tbl>
      <w:tblPr>
        <w:tblStyle w:val="6"/>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114"/>
        <w:gridCol w:w="5406"/>
      </w:tblGrid>
      <w:tr w14:paraId="0D4D9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27" w:type="pct"/>
            <w:vAlign w:val="center"/>
          </w:tcPr>
          <w:p w14:paraId="267A6928">
            <w:pPr>
              <w:widowControl w:val="0"/>
              <w:shd w:val="clear" w:color="auto" w:fill="auto"/>
              <w:spacing w:after="0" w:line="360" w:lineRule="auto"/>
              <w:ind w:firstLine="0"/>
              <w:jc w:val="center"/>
              <w:rPr>
                <w:rFonts w:hint="eastAsia" w:ascii="宋体" w:hAnsi="宋体" w:eastAsia="宋体" w:cs="宋体"/>
                <w:color w:val="000000"/>
                <w:kern w:val="0"/>
                <w:sz w:val="21"/>
                <w:szCs w:val="21"/>
                <w:lang w:val="zh-CN" w:eastAsia="zh-CN" w:bidi="zh-CN"/>
              </w:rPr>
            </w:pPr>
            <w:r>
              <w:rPr>
                <w:rFonts w:hint="eastAsia" w:ascii="宋体" w:hAnsi="宋体" w:eastAsia="宋体" w:cs="宋体"/>
                <w:color w:val="000000"/>
                <w:kern w:val="0"/>
                <w:sz w:val="21"/>
                <w:szCs w:val="21"/>
                <w:lang w:val="zh-CN" w:eastAsia="zh-CN" w:bidi="zh-CN"/>
              </w:rPr>
              <w:t>标的提供的时间</w:t>
            </w:r>
          </w:p>
        </w:tc>
        <w:tc>
          <w:tcPr>
            <w:tcW w:w="3172" w:type="pct"/>
            <w:vAlign w:val="center"/>
          </w:tcPr>
          <w:p w14:paraId="411C9AB6">
            <w:pPr>
              <w:widowControl w:val="0"/>
              <w:shd w:val="clear" w:color="auto" w:fill="auto"/>
              <w:spacing w:after="0" w:line="360" w:lineRule="auto"/>
              <w:ind w:firstLine="0"/>
              <w:jc w:val="center"/>
              <w:rPr>
                <w:rFonts w:hint="eastAsia" w:ascii="宋体" w:hAnsi="宋体" w:eastAsia="宋体" w:cs="宋体"/>
                <w:color w:val="000000"/>
                <w:kern w:val="0"/>
                <w:sz w:val="21"/>
                <w:szCs w:val="21"/>
                <w:lang w:val="zh-CN" w:eastAsia="zh-CN" w:bidi="zh-CN"/>
              </w:rPr>
            </w:pPr>
            <w:r>
              <w:rPr>
                <w:rFonts w:hint="eastAsia" w:ascii="宋体" w:hAnsi="宋体" w:eastAsia="宋体" w:cs="宋体"/>
                <w:color w:val="000000"/>
                <w:kern w:val="2"/>
                <w:sz w:val="21"/>
                <w:szCs w:val="21"/>
                <w:lang w:val="en-US" w:eastAsia="zh-CN" w:bidi="ar-SA"/>
              </w:rPr>
              <w:t>2026年8月10日前交付使用</w:t>
            </w:r>
          </w:p>
        </w:tc>
      </w:tr>
      <w:tr w14:paraId="5792F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27" w:type="pct"/>
            <w:vAlign w:val="center"/>
          </w:tcPr>
          <w:p w14:paraId="1F9A6827">
            <w:pPr>
              <w:widowControl w:val="0"/>
              <w:shd w:val="clear" w:color="auto" w:fill="auto"/>
              <w:spacing w:after="0" w:line="360" w:lineRule="auto"/>
              <w:ind w:firstLine="0"/>
              <w:jc w:val="center"/>
              <w:rPr>
                <w:rFonts w:ascii="宋体" w:hAnsi="宋体" w:eastAsia="宋体" w:cs="宋体"/>
                <w:color w:val="000000"/>
                <w:kern w:val="0"/>
                <w:sz w:val="21"/>
                <w:szCs w:val="21"/>
                <w:lang w:val="zh-CN" w:eastAsia="zh-CN" w:bidi="zh-CN"/>
              </w:rPr>
            </w:pPr>
            <w:r>
              <w:rPr>
                <w:rFonts w:ascii="宋体" w:hAnsi="宋体" w:eastAsia="宋体" w:cs="宋体"/>
                <w:color w:val="000000"/>
                <w:kern w:val="0"/>
                <w:sz w:val="21"/>
                <w:szCs w:val="21"/>
                <w:lang w:val="zh-CN" w:eastAsia="zh-CN" w:bidi="zh-CN"/>
              </w:rPr>
              <w:t>标的提供的地点</w:t>
            </w:r>
          </w:p>
        </w:tc>
        <w:tc>
          <w:tcPr>
            <w:tcW w:w="3172" w:type="pct"/>
            <w:vAlign w:val="center"/>
          </w:tcPr>
          <w:p w14:paraId="525D72CD">
            <w:pPr>
              <w:widowControl w:val="0"/>
              <w:shd w:val="clear" w:color="auto" w:fill="auto"/>
              <w:spacing w:after="0" w:line="360" w:lineRule="auto"/>
              <w:ind w:firstLine="0"/>
              <w:jc w:val="center"/>
              <w:rPr>
                <w:rFonts w:ascii="宋体" w:hAnsi="宋体" w:eastAsia="宋体" w:cs="宋体"/>
                <w:color w:val="000000"/>
                <w:kern w:val="0"/>
                <w:sz w:val="21"/>
                <w:szCs w:val="21"/>
                <w:lang w:val="zh-CN" w:eastAsia="zh-CN" w:bidi="zh-CN"/>
              </w:rPr>
            </w:pPr>
            <w:r>
              <w:rPr>
                <w:rFonts w:hint="eastAsia" w:ascii="宋体" w:hAnsi="宋体" w:eastAsia="宋体" w:cs="宋体"/>
                <w:color w:val="000000"/>
                <w:kern w:val="0"/>
                <w:sz w:val="21"/>
                <w:szCs w:val="21"/>
                <w:lang w:val="zh-CN" w:eastAsia="zh-CN" w:bidi="zh-CN"/>
              </w:rPr>
              <w:t>华南农业大学（用户指定地点）</w:t>
            </w:r>
          </w:p>
        </w:tc>
      </w:tr>
      <w:tr w14:paraId="3EBF1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27" w:type="pct"/>
            <w:vAlign w:val="center"/>
          </w:tcPr>
          <w:p w14:paraId="06CE25E5">
            <w:pPr>
              <w:widowControl w:val="0"/>
              <w:shd w:val="clear" w:color="auto" w:fill="auto"/>
              <w:spacing w:after="0" w:line="360" w:lineRule="auto"/>
              <w:ind w:firstLine="0"/>
              <w:jc w:val="center"/>
              <w:rPr>
                <w:rFonts w:ascii="宋体" w:hAnsi="宋体" w:eastAsia="宋体" w:cs="宋体"/>
                <w:color w:val="000000"/>
                <w:kern w:val="0"/>
                <w:sz w:val="21"/>
                <w:szCs w:val="21"/>
                <w:lang w:val="zh-CN" w:eastAsia="zh-CN" w:bidi="zh-CN"/>
              </w:rPr>
            </w:pPr>
            <w:r>
              <w:rPr>
                <w:rFonts w:ascii="宋体" w:hAnsi="宋体" w:eastAsia="宋体" w:cs="宋体"/>
                <w:color w:val="000000"/>
                <w:kern w:val="0"/>
                <w:sz w:val="21"/>
                <w:szCs w:val="21"/>
                <w:lang w:val="zh-CN" w:eastAsia="zh-CN" w:bidi="zh-CN"/>
              </w:rPr>
              <w:t>投标有效期</w:t>
            </w:r>
          </w:p>
        </w:tc>
        <w:tc>
          <w:tcPr>
            <w:tcW w:w="3172" w:type="pct"/>
            <w:vAlign w:val="center"/>
          </w:tcPr>
          <w:p w14:paraId="3A958979">
            <w:pPr>
              <w:widowControl w:val="0"/>
              <w:shd w:val="clear" w:color="auto" w:fill="auto"/>
              <w:spacing w:after="0" w:line="360" w:lineRule="auto"/>
              <w:ind w:firstLine="0"/>
              <w:jc w:val="center"/>
              <w:rPr>
                <w:rFonts w:ascii="宋体" w:hAnsi="宋体" w:eastAsia="宋体" w:cs="宋体"/>
                <w:color w:val="000000"/>
                <w:kern w:val="0"/>
                <w:sz w:val="21"/>
                <w:szCs w:val="21"/>
                <w:lang w:val="zh-CN" w:eastAsia="zh-CN" w:bidi="zh-CN"/>
              </w:rPr>
            </w:pPr>
            <w:r>
              <w:rPr>
                <w:rFonts w:ascii="宋体" w:hAnsi="宋体" w:eastAsia="宋体" w:cs="宋体"/>
                <w:color w:val="000000"/>
                <w:kern w:val="0"/>
                <w:sz w:val="21"/>
                <w:szCs w:val="21"/>
                <w:lang w:val="zh-CN" w:eastAsia="zh-CN" w:bidi="zh-CN"/>
              </w:rPr>
              <w:t>从提交投标文件的截止之日起</w:t>
            </w:r>
            <w:r>
              <w:rPr>
                <w:rFonts w:ascii="宋体" w:hAnsi="宋体" w:eastAsia="宋体" w:cs="Arial"/>
                <w:color w:val="000000"/>
                <w:kern w:val="0"/>
                <w:sz w:val="21"/>
                <w:szCs w:val="21"/>
                <w:lang w:val="zh-CN" w:eastAsia="zh-CN" w:bidi="zh-CN"/>
              </w:rPr>
              <w:t>90</w:t>
            </w:r>
            <w:r>
              <w:rPr>
                <w:rFonts w:ascii="宋体" w:hAnsi="宋体" w:eastAsia="宋体" w:cs="宋体"/>
                <w:color w:val="000000"/>
                <w:kern w:val="0"/>
                <w:sz w:val="21"/>
                <w:szCs w:val="21"/>
                <w:lang w:val="zh-CN" w:eastAsia="zh-CN" w:bidi="zh-CN"/>
              </w:rPr>
              <w:t>日历天</w:t>
            </w:r>
          </w:p>
        </w:tc>
      </w:tr>
      <w:tr w14:paraId="35DA0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27" w:type="pct"/>
            <w:vAlign w:val="center"/>
          </w:tcPr>
          <w:p w14:paraId="1D74BB03">
            <w:pPr>
              <w:widowControl w:val="0"/>
              <w:shd w:val="clear" w:color="auto" w:fill="auto"/>
              <w:spacing w:after="0" w:line="360" w:lineRule="auto"/>
              <w:ind w:firstLine="0"/>
              <w:jc w:val="center"/>
              <w:rPr>
                <w:rFonts w:ascii="宋体" w:hAnsi="宋体" w:eastAsia="宋体" w:cs="宋体"/>
                <w:color w:val="000000"/>
                <w:kern w:val="0"/>
                <w:sz w:val="21"/>
                <w:szCs w:val="21"/>
                <w:lang w:val="zh-CN" w:eastAsia="zh-CN" w:bidi="zh-CN"/>
              </w:rPr>
            </w:pPr>
            <w:r>
              <w:rPr>
                <w:rFonts w:ascii="宋体" w:hAnsi="宋体" w:eastAsia="宋体" w:cs="宋体"/>
                <w:color w:val="000000"/>
                <w:kern w:val="0"/>
                <w:sz w:val="21"/>
                <w:szCs w:val="21"/>
                <w:lang w:val="zh-CN" w:eastAsia="zh-CN" w:bidi="zh-CN"/>
              </w:rPr>
              <w:t>付款方式</w:t>
            </w:r>
          </w:p>
        </w:tc>
        <w:tc>
          <w:tcPr>
            <w:tcW w:w="3172" w:type="pct"/>
            <w:vAlign w:val="center"/>
          </w:tcPr>
          <w:p w14:paraId="27410DA8">
            <w:pPr>
              <w:spacing w:line="360" w:lineRule="auto"/>
              <w:rPr>
                <w:rFonts w:ascii="宋体" w:hAnsi="宋体" w:cs="宋体"/>
                <w:color w:val="000000"/>
                <w:szCs w:val="21"/>
                <w:lang w:val="zh-CN" w:bidi="zh-CN"/>
              </w:rPr>
            </w:pPr>
            <w:r>
              <w:rPr>
                <w:rFonts w:hint="eastAsia" w:ascii="宋体" w:hAnsi="宋体" w:cs="宋体"/>
              </w:rPr>
              <w:t>1期 支付比例</w:t>
            </w:r>
            <w:r>
              <w:rPr>
                <w:rFonts w:ascii="宋体" w:hAnsi="宋体"/>
              </w:rPr>
              <w:t>100%</w:t>
            </w:r>
          </w:p>
          <w:p w14:paraId="4C12FAAD">
            <w:pPr>
              <w:widowControl w:val="0"/>
              <w:spacing w:line="360" w:lineRule="auto"/>
              <w:ind w:firstLine="420"/>
              <w:jc w:val="both"/>
              <w:rPr>
                <w:rFonts w:ascii="宋体" w:hAnsi="宋体" w:eastAsia="宋体" w:cs="宋体"/>
                <w:color w:val="000000"/>
                <w:kern w:val="2"/>
                <w:sz w:val="21"/>
                <w:szCs w:val="20"/>
                <w:lang w:val="en-US" w:eastAsia="zh-CN" w:bidi="ar-SA"/>
              </w:rPr>
            </w:pPr>
            <w:r>
              <w:rPr>
                <w:rFonts w:hint="eastAsia" w:ascii="宋体" w:hAnsi="宋体" w:eastAsia="宋体" w:cs="宋体"/>
                <w:color w:val="000000"/>
                <w:kern w:val="2"/>
                <w:sz w:val="21"/>
                <w:szCs w:val="21"/>
                <w:lang w:val="zh-CN" w:eastAsia="zh-CN" w:bidi="zh-CN"/>
              </w:rPr>
              <w:t>支付比例100%,采购人在合同签订后5个工作日内</w:t>
            </w:r>
            <w:r>
              <w:rPr>
                <w:rFonts w:hint="eastAsia" w:ascii="宋体" w:hAnsi="宋体" w:cs="宋体"/>
                <w:color w:val="000000"/>
                <w:kern w:val="2"/>
                <w:sz w:val="21"/>
                <w:szCs w:val="21"/>
                <w:lang w:val="en-US" w:eastAsia="zh-CN" w:bidi="zh-CN"/>
              </w:rPr>
              <w:t>支付</w:t>
            </w:r>
            <w:r>
              <w:rPr>
                <w:rFonts w:hint="eastAsia" w:ascii="宋体" w:hAnsi="宋体" w:eastAsia="宋体" w:cs="宋体"/>
                <w:color w:val="000000"/>
                <w:kern w:val="2"/>
                <w:sz w:val="21"/>
                <w:szCs w:val="21"/>
                <w:lang w:val="zh-CN" w:eastAsia="zh-CN" w:bidi="zh-CN"/>
              </w:rPr>
              <w:t>合同金额的30%</w:t>
            </w:r>
            <w:r>
              <w:rPr>
                <w:rFonts w:hint="eastAsia" w:ascii="宋体" w:hAnsi="宋体" w:cs="宋体"/>
                <w:color w:val="000000"/>
                <w:kern w:val="2"/>
                <w:sz w:val="21"/>
                <w:szCs w:val="21"/>
                <w:lang w:val="en-US" w:eastAsia="zh-CN" w:bidi="zh-CN"/>
              </w:rPr>
              <w:t>作为预付款</w:t>
            </w:r>
            <w:r>
              <w:rPr>
                <w:rFonts w:hint="eastAsia" w:ascii="宋体" w:hAnsi="宋体" w:eastAsia="宋体" w:cs="宋体"/>
                <w:color w:val="000000"/>
                <w:kern w:val="2"/>
                <w:sz w:val="21"/>
                <w:szCs w:val="21"/>
                <w:lang w:val="zh-CN" w:eastAsia="zh-CN" w:bidi="zh-CN"/>
              </w:rPr>
              <w:t>，货到安装调试验收合格，采购人收到中标人开具的等额合法有效发票后10个工作日内向中标人支付合同金额的70%。如项目发生合同融资，采购人应当将合同款项支付到合同约定收款账户。</w:t>
            </w:r>
          </w:p>
        </w:tc>
      </w:tr>
      <w:tr w14:paraId="4F04B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27" w:type="pct"/>
            <w:vAlign w:val="center"/>
          </w:tcPr>
          <w:p w14:paraId="6640CD94">
            <w:pPr>
              <w:widowControl w:val="0"/>
              <w:shd w:val="clear" w:color="auto" w:fill="auto"/>
              <w:spacing w:after="0" w:line="360" w:lineRule="auto"/>
              <w:ind w:firstLine="0"/>
              <w:jc w:val="center"/>
              <w:rPr>
                <w:rFonts w:ascii="宋体" w:hAnsi="宋体" w:eastAsia="宋体" w:cs="宋体"/>
                <w:color w:val="000000"/>
                <w:kern w:val="0"/>
                <w:sz w:val="21"/>
                <w:szCs w:val="21"/>
                <w:lang w:val="zh-CN" w:eastAsia="zh-CN" w:bidi="zh-CN"/>
              </w:rPr>
            </w:pPr>
            <w:r>
              <w:rPr>
                <w:rFonts w:ascii="宋体" w:hAnsi="宋体" w:eastAsia="宋体" w:cs="宋体"/>
                <w:color w:val="000000"/>
                <w:kern w:val="0"/>
                <w:sz w:val="21"/>
                <w:szCs w:val="21"/>
                <w:lang w:val="zh-CN" w:eastAsia="zh-CN" w:bidi="zh-CN"/>
              </w:rPr>
              <w:t>验收要求</w:t>
            </w:r>
          </w:p>
        </w:tc>
        <w:tc>
          <w:tcPr>
            <w:tcW w:w="3172" w:type="pct"/>
            <w:vAlign w:val="center"/>
          </w:tcPr>
          <w:p w14:paraId="04EE88F3">
            <w:pPr>
              <w:spacing w:line="360" w:lineRule="auto"/>
              <w:ind w:firstLine="420" w:firstLineChars="200"/>
              <w:rPr>
                <w:rFonts w:ascii="宋体" w:hAnsi="宋体"/>
                <w:color w:val="000000"/>
                <w:szCs w:val="21"/>
              </w:rPr>
            </w:pPr>
            <w:r>
              <w:rPr>
                <w:rFonts w:ascii="宋体" w:hAnsi="宋体" w:cs="Arial"/>
                <w:color w:val="000000"/>
                <w:szCs w:val="21"/>
              </w:rPr>
              <w:t>1</w:t>
            </w:r>
            <w:r>
              <w:rPr>
                <w:rFonts w:ascii="宋体" w:hAnsi="宋体"/>
                <w:color w:val="000000"/>
                <w:szCs w:val="21"/>
              </w:rPr>
              <w:t>期：</w:t>
            </w:r>
          </w:p>
          <w:p w14:paraId="7B91FA6A">
            <w:pPr>
              <w:widowControl w:val="0"/>
              <w:shd w:val="clear" w:color="auto" w:fill="FFFFFF"/>
              <w:spacing w:after="0" w:line="360" w:lineRule="auto"/>
              <w:ind w:firstLine="420" w:firstLineChars="200"/>
              <w:jc w:val="left"/>
              <w:rPr>
                <w:rFonts w:hint="eastAsia" w:ascii="宋体" w:hAnsi="宋体" w:eastAsia="宋体" w:cs="宋体"/>
                <w:color w:val="000000"/>
                <w:kern w:val="0"/>
                <w:sz w:val="21"/>
                <w:szCs w:val="21"/>
                <w:lang w:val="zh-CN" w:eastAsia="zh-CN" w:bidi="zh-CN"/>
              </w:rPr>
            </w:pPr>
            <w:r>
              <w:rPr>
                <w:rFonts w:hint="eastAsia" w:ascii="宋体" w:hAnsi="宋体" w:eastAsia="宋体" w:cs="宋体"/>
                <w:color w:val="000000"/>
                <w:kern w:val="0"/>
                <w:sz w:val="21"/>
                <w:szCs w:val="21"/>
                <w:lang w:val="zh-CN" w:eastAsia="zh-CN" w:bidi="zh-CN"/>
              </w:rPr>
              <w:t>1、中标人货物送达目的地并完成安装调试后，须向采购人书面申请验收，在接到中标人申请后，采购人应在7日内组织验收，采购人按照货物需求表及参照样品进行验收。一次性验收合格的，货物安装完成时间以验收合格时间为准；一次性验收不合格，整改合格后，以整改验收合格时间为准。</w:t>
            </w:r>
          </w:p>
          <w:p w14:paraId="677EBB71">
            <w:pPr>
              <w:widowControl w:val="0"/>
              <w:shd w:val="clear" w:color="auto" w:fill="FFFFFF"/>
              <w:spacing w:after="0" w:line="360" w:lineRule="auto"/>
              <w:ind w:firstLine="420" w:firstLineChars="200"/>
              <w:jc w:val="left"/>
              <w:rPr>
                <w:rFonts w:hint="eastAsia" w:ascii="宋体" w:hAnsi="宋体" w:eastAsia="宋体" w:cs="宋体"/>
                <w:color w:val="000000"/>
                <w:kern w:val="0"/>
                <w:sz w:val="21"/>
                <w:szCs w:val="21"/>
                <w:lang w:val="zh-CN" w:eastAsia="zh-CN" w:bidi="zh-CN"/>
              </w:rPr>
            </w:pPr>
            <w:r>
              <w:rPr>
                <w:rFonts w:hint="eastAsia" w:ascii="宋体" w:hAnsi="宋体" w:eastAsia="宋体" w:cs="宋体"/>
                <w:color w:val="000000"/>
                <w:kern w:val="0"/>
                <w:sz w:val="21"/>
                <w:szCs w:val="21"/>
                <w:lang w:val="zh-CN" w:eastAsia="zh-CN" w:bidi="zh-CN"/>
              </w:rPr>
              <w:t>2、验收时，中标人须提供国家认可的质量监督检测机构出具的与本项目要求相同的基材板材检验报告、课室的室内环境空气质量检验报告（包含甲醛、VOC等），并随时接受抽检，相关检验费用由中标人承担。</w:t>
            </w:r>
          </w:p>
          <w:p w14:paraId="046D0A8E">
            <w:pPr>
              <w:widowControl w:val="0"/>
              <w:shd w:val="clear" w:color="auto" w:fill="FFFFFF"/>
              <w:spacing w:after="0" w:line="360" w:lineRule="auto"/>
              <w:ind w:firstLine="420" w:firstLineChars="200"/>
              <w:jc w:val="left"/>
              <w:rPr>
                <w:rFonts w:ascii="宋体" w:hAnsi="宋体" w:eastAsia="宋体" w:cs="宋体"/>
                <w:color w:val="000000"/>
                <w:kern w:val="0"/>
                <w:sz w:val="21"/>
                <w:szCs w:val="21"/>
                <w:lang w:val="zh-CN" w:eastAsia="zh-CN" w:bidi="zh-CN"/>
              </w:rPr>
            </w:pPr>
            <w:r>
              <w:rPr>
                <w:rFonts w:hint="eastAsia" w:ascii="宋体" w:hAnsi="宋体" w:eastAsia="宋体" w:cs="宋体"/>
                <w:color w:val="000000"/>
                <w:kern w:val="0"/>
                <w:sz w:val="21"/>
                <w:szCs w:val="21"/>
                <w:lang w:val="zh-CN" w:eastAsia="zh-CN" w:bidi="zh-CN"/>
              </w:rPr>
              <w:t>3、中标人应保证提供的货物质量指标达到相应的国家标准，行业标准及厂家在其投标文件中提交并确定遵照的有关标准及技术要求。</w:t>
            </w:r>
          </w:p>
        </w:tc>
      </w:tr>
      <w:tr w14:paraId="38954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27" w:type="pct"/>
            <w:vAlign w:val="center"/>
          </w:tcPr>
          <w:p w14:paraId="0BC118B8">
            <w:pPr>
              <w:widowControl w:val="0"/>
              <w:shd w:val="clear" w:color="auto" w:fill="auto"/>
              <w:spacing w:after="0" w:line="360" w:lineRule="auto"/>
              <w:ind w:firstLine="0"/>
              <w:jc w:val="center"/>
              <w:rPr>
                <w:rFonts w:ascii="宋体" w:hAnsi="宋体" w:eastAsia="宋体" w:cs="宋体"/>
                <w:color w:val="000000"/>
                <w:kern w:val="0"/>
                <w:sz w:val="21"/>
                <w:szCs w:val="21"/>
                <w:lang w:val="zh-CN" w:eastAsia="zh-CN" w:bidi="zh-CN"/>
              </w:rPr>
            </w:pPr>
            <w:r>
              <w:rPr>
                <w:rFonts w:ascii="宋体" w:hAnsi="宋体" w:eastAsia="宋体" w:cs="宋体"/>
                <w:color w:val="000000"/>
                <w:kern w:val="0"/>
                <w:sz w:val="21"/>
                <w:szCs w:val="21"/>
                <w:lang w:val="zh-CN" w:eastAsia="zh-CN" w:bidi="zh-CN"/>
              </w:rPr>
              <w:t>履约保证金</w:t>
            </w:r>
          </w:p>
        </w:tc>
        <w:tc>
          <w:tcPr>
            <w:tcW w:w="3172" w:type="pct"/>
            <w:vAlign w:val="center"/>
          </w:tcPr>
          <w:p w14:paraId="2441CCE9">
            <w:pPr>
              <w:spacing w:line="360" w:lineRule="auto"/>
              <w:ind w:firstLine="420" w:firstLineChars="200"/>
              <w:jc w:val="left"/>
              <w:rPr>
                <w:color w:val="000000"/>
                <w:szCs w:val="21"/>
              </w:rPr>
            </w:pPr>
            <w:r>
              <w:rPr>
                <w:rFonts w:hint="eastAsia" w:ascii="宋体" w:hAnsi="宋体" w:eastAsia="宋体" w:cs="宋体"/>
                <w:color w:val="000000"/>
                <w:szCs w:val="21"/>
              </w:rPr>
              <w:t>收取比例：5%,说明：签订合同</w:t>
            </w:r>
            <w:r>
              <w:rPr>
                <w:rFonts w:hint="eastAsia" w:ascii="宋体" w:hAnsi="宋体" w:eastAsia="宋体" w:cs="宋体"/>
                <w:color w:val="000000"/>
                <w:szCs w:val="21"/>
                <w:lang w:val="en-US" w:eastAsia="zh-CN"/>
              </w:rPr>
              <w:t>后</w:t>
            </w:r>
            <w:r>
              <w:rPr>
                <w:rFonts w:hint="eastAsia" w:ascii="宋体" w:hAnsi="宋体" w:eastAsia="宋体" w:cs="宋体"/>
                <w:color w:val="000000"/>
                <w:szCs w:val="21"/>
              </w:rPr>
              <w:t>，中标人交纳合同款的5%作为履约保证金</w:t>
            </w:r>
            <w:r>
              <w:rPr>
                <w:rFonts w:hint="eastAsia" w:ascii="宋体" w:hAnsi="宋体" w:eastAsia="宋体" w:cs="宋体"/>
                <w:color w:val="000000"/>
                <w:szCs w:val="21"/>
                <w:lang w:val="en-US" w:eastAsia="zh-CN"/>
              </w:rPr>
              <w:t>给采购人</w:t>
            </w:r>
            <w:r>
              <w:rPr>
                <w:rFonts w:hint="eastAsia" w:ascii="宋体" w:hAnsi="宋体" w:eastAsia="宋体" w:cs="宋体"/>
                <w:color w:val="000000"/>
                <w:szCs w:val="21"/>
              </w:rPr>
              <w:t>。在中标人</w:t>
            </w:r>
            <w:r>
              <w:rPr>
                <w:rFonts w:hint="eastAsia" w:ascii="宋体" w:hAnsi="宋体" w:eastAsia="宋体" w:cs="宋体"/>
                <w:color w:val="000000"/>
                <w:szCs w:val="21"/>
                <w:lang w:val="en-US" w:eastAsia="zh-CN"/>
              </w:rPr>
              <w:t>按合同约定</w:t>
            </w:r>
            <w:r>
              <w:rPr>
                <w:rFonts w:hint="eastAsia" w:ascii="宋体" w:hAnsi="宋体" w:eastAsia="宋体" w:cs="宋体"/>
                <w:color w:val="000000"/>
                <w:szCs w:val="21"/>
              </w:rPr>
              <w:t>全部</w:t>
            </w:r>
            <w:r>
              <w:rPr>
                <w:rFonts w:hint="eastAsia" w:ascii="宋体" w:hAnsi="宋体" w:eastAsia="宋体" w:cs="宋体"/>
                <w:color w:val="000000"/>
                <w:szCs w:val="21"/>
                <w:lang w:val="en-US" w:eastAsia="zh-CN"/>
              </w:rPr>
              <w:t>履行</w:t>
            </w:r>
            <w:r>
              <w:rPr>
                <w:rFonts w:hint="eastAsia" w:ascii="宋体" w:hAnsi="宋体" w:eastAsia="宋体" w:cs="宋体"/>
                <w:color w:val="000000"/>
                <w:szCs w:val="21"/>
              </w:rPr>
              <w:t>完成合同义务，</w:t>
            </w:r>
            <w:r>
              <w:rPr>
                <w:rFonts w:hint="eastAsia" w:ascii="宋体" w:hAnsi="宋体" w:eastAsia="宋体" w:cs="宋体"/>
                <w:color w:val="000000"/>
                <w:szCs w:val="21"/>
                <w:lang w:val="en-US" w:eastAsia="zh-CN"/>
              </w:rPr>
              <w:t>并按采购人要求</w:t>
            </w:r>
            <w:r>
              <w:rPr>
                <w:rFonts w:hint="eastAsia" w:ascii="宋体" w:hAnsi="宋体" w:eastAsia="宋体" w:cs="宋体"/>
                <w:color w:val="000000"/>
                <w:szCs w:val="21"/>
              </w:rPr>
              <w:t>办理相关履约保证金退还手续后十个工作日内</w:t>
            </w:r>
            <w:r>
              <w:rPr>
                <w:rFonts w:hint="eastAsia" w:ascii="宋体" w:hAnsi="宋体" w:eastAsia="宋体" w:cs="宋体"/>
                <w:color w:val="000000"/>
                <w:szCs w:val="21"/>
                <w:lang w:eastAsia="zh-CN"/>
              </w:rPr>
              <w:t>，</w:t>
            </w:r>
            <w:r>
              <w:rPr>
                <w:rFonts w:hint="eastAsia" w:ascii="宋体" w:hAnsi="宋体" w:eastAsia="宋体" w:cs="宋体"/>
                <w:color w:val="000000"/>
                <w:szCs w:val="21"/>
                <w:lang w:val="en-US" w:eastAsia="zh-CN"/>
              </w:rPr>
              <w:t>采购人将履约保证金</w:t>
            </w:r>
            <w:r>
              <w:rPr>
                <w:rFonts w:hint="eastAsia" w:ascii="宋体" w:hAnsi="宋体" w:eastAsia="宋体" w:cs="宋体"/>
                <w:color w:val="000000"/>
                <w:szCs w:val="21"/>
              </w:rPr>
              <w:t>无息退回中标人，否则，采购人有权不予退回履约保证金。采购人</w:t>
            </w:r>
            <w:r>
              <w:rPr>
                <w:rFonts w:hint="eastAsia" w:ascii="宋体" w:hAnsi="宋体" w:eastAsia="宋体" w:cs="宋体"/>
                <w:color w:val="000000"/>
                <w:szCs w:val="21"/>
                <w:lang w:val="en-US" w:eastAsia="zh-CN"/>
              </w:rPr>
              <w:t>因自身原因</w:t>
            </w:r>
            <w:r>
              <w:rPr>
                <w:rFonts w:hint="eastAsia" w:ascii="宋体" w:hAnsi="宋体" w:eastAsia="宋体" w:cs="宋体"/>
                <w:color w:val="000000"/>
                <w:szCs w:val="21"/>
              </w:rPr>
              <w:t>未按照合同约定及时向中标人退回履约保证金的，应按照全国银行间同业拆借中心公布的贷款市场报价利率标准支付利息。</w:t>
            </w:r>
          </w:p>
        </w:tc>
      </w:tr>
    </w:tbl>
    <w:p w14:paraId="7F33AFDC">
      <w:pPr>
        <w:rPr>
          <w:rFonts w:ascii="宋体" w:hAnsi="宋体"/>
        </w:rPr>
      </w:pPr>
    </w:p>
    <w:p w14:paraId="4D1A0A2C">
      <w:pPr>
        <w:widowControl w:val="0"/>
        <w:numPr>
          <w:ilvl w:val="0"/>
          <w:numId w:val="0"/>
        </w:numPr>
        <w:spacing w:before="156" w:beforeLines="50" w:after="156" w:afterLines="50"/>
        <w:jc w:val="both"/>
        <w:rPr>
          <w:rFonts w:ascii="宋体" w:hAnsi="宋体" w:eastAsia="宋体" w:cs="Times New Roman"/>
          <w:b/>
          <w:bCs/>
          <w:kern w:val="2"/>
          <w:sz w:val="24"/>
          <w:szCs w:val="32"/>
          <w:lang w:val="en-US" w:eastAsia="zh-CN" w:bidi="ar-SA"/>
        </w:rPr>
      </w:pPr>
      <w:r>
        <w:rPr>
          <w:rFonts w:hint="eastAsia" w:ascii="宋体" w:hAnsi="宋体" w:eastAsia="宋体" w:cs="Times New Roman"/>
          <w:b/>
          <w:bCs/>
          <w:kern w:val="2"/>
          <w:sz w:val="24"/>
          <w:szCs w:val="32"/>
          <w:lang w:val="en-US" w:eastAsia="zh-CN" w:bidi="ar-SA"/>
        </w:rPr>
        <w:t>其他商务需求</w:t>
      </w:r>
    </w:p>
    <w:p w14:paraId="0F986FC3"/>
    <w:tbl>
      <w:tblPr>
        <w:tblStyle w:val="5"/>
        <w:tblW w:w="4993"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69"/>
        <w:gridCol w:w="744"/>
        <w:gridCol w:w="1590"/>
        <w:gridCol w:w="5607"/>
      </w:tblGrid>
      <w:tr w14:paraId="58D647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4" w:type="pct"/>
            <w:vAlign w:val="center"/>
          </w:tcPr>
          <w:p w14:paraId="278DB0BE">
            <w:pPr>
              <w:jc w:val="center"/>
              <w:rPr>
                <w:rFonts w:ascii="宋体" w:hAnsi="宋体" w:cs="宋体"/>
                <w:szCs w:val="21"/>
              </w:rPr>
            </w:pPr>
            <w:r>
              <w:rPr>
                <w:rFonts w:hint="eastAsia" w:ascii="宋体" w:hAnsi="宋体" w:cs="宋体"/>
                <w:szCs w:val="21"/>
              </w:rPr>
              <w:t>参数性质</w:t>
            </w:r>
          </w:p>
        </w:tc>
        <w:tc>
          <w:tcPr>
            <w:tcW w:w="437" w:type="pct"/>
            <w:vAlign w:val="center"/>
          </w:tcPr>
          <w:p w14:paraId="56D12565">
            <w:pPr>
              <w:jc w:val="center"/>
              <w:rPr>
                <w:rFonts w:ascii="宋体" w:hAnsi="宋体" w:cs="宋体"/>
                <w:szCs w:val="21"/>
              </w:rPr>
            </w:pPr>
            <w:r>
              <w:rPr>
                <w:rFonts w:hint="eastAsia" w:ascii="宋体" w:hAnsi="宋体" w:cs="宋体"/>
                <w:szCs w:val="21"/>
              </w:rPr>
              <w:t>编号</w:t>
            </w:r>
          </w:p>
        </w:tc>
        <w:tc>
          <w:tcPr>
            <w:tcW w:w="934" w:type="pct"/>
            <w:vAlign w:val="center"/>
          </w:tcPr>
          <w:p w14:paraId="2BA70B9F">
            <w:pPr>
              <w:jc w:val="center"/>
              <w:rPr>
                <w:rFonts w:ascii="宋体" w:hAnsi="宋体" w:cs="宋体"/>
                <w:szCs w:val="21"/>
              </w:rPr>
            </w:pPr>
            <w:r>
              <w:rPr>
                <w:rFonts w:hint="eastAsia" w:ascii="宋体" w:hAnsi="宋体" w:cs="宋体"/>
                <w:szCs w:val="21"/>
              </w:rPr>
              <w:t>内容明细</w:t>
            </w:r>
          </w:p>
        </w:tc>
        <w:tc>
          <w:tcPr>
            <w:tcW w:w="3293" w:type="pct"/>
            <w:vAlign w:val="center"/>
          </w:tcPr>
          <w:p w14:paraId="3659EF20">
            <w:pPr>
              <w:jc w:val="center"/>
              <w:rPr>
                <w:rFonts w:ascii="宋体" w:hAnsi="宋体" w:cs="宋体"/>
                <w:szCs w:val="21"/>
              </w:rPr>
            </w:pPr>
            <w:r>
              <w:rPr>
                <w:rFonts w:hint="eastAsia" w:ascii="宋体" w:hAnsi="宋体" w:cs="宋体"/>
                <w:szCs w:val="21"/>
              </w:rPr>
              <w:t>内容说明</w:t>
            </w:r>
          </w:p>
        </w:tc>
      </w:tr>
      <w:tr w14:paraId="4BACB1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4" w:type="pct"/>
            <w:vAlign w:val="center"/>
          </w:tcPr>
          <w:p w14:paraId="7FB42932">
            <w:pPr>
              <w:jc w:val="center"/>
              <w:rPr>
                <w:rFonts w:ascii="宋体" w:hAnsi="宋体" w:cs="宋体"/>
                <w:szCs w:val="21"/>
              </w:rPr>
            </w:pPr>
          </w:p>
        </w:tc>
        <w:tc>
          <w:tcPr>
            <w:tcW w:w="437" w:type="pct"/>
            <w:vAlign w:val="center"/>
          </w:tcPr>
          <w:p w14:paraId="0871ABD3">
            <w:pPr>
              <w:jc w:val="center"/>
              <w:rPr>
                <w:rFonts w:ascii="宋体" w:hAnsi="宋体" w:cs="宋体"/>
                <w:szCs w:val="21"/>
              </w:rPr>
            </w:pPr>
            <w:r>
              <w:rPr>
                <w:rFonts w:hint="eastAsia" w:ascii="宋体" w:hAnsi="宋体" w:cs="宋体"/>
                <w:szCs w:val="21"/>
              </w:rPr>
              <w:t>1</w:t>
            </w:r>
          </w:p>
        </w:tc>
        <w:tc>
          <w:tcPr>
            <w:tcW w:w="934" w:type="pct"/>
            <w:vAlign w:val="center"/>
          </w:tcPr>
          <w:p w14:paraId="6E629089">
            <w:pPr>
              <w:jc w:val="center"/>
              <w:rPr>
                <w:rFonts w:ascii="宋体" w:hAnsi="宋体" w:cs="宋体"/>
                <w:szCs w:val="21"/>
                <w:highlight w:val="yellow"/>
              </w:rPr>
            </w:pPr>
            <w:r>
              <w:rPr>
                <w:rFonts w:hint="eastAsia"/>
                <w:szCs w:val="21"/>
              </w:rPr>
              <w:t>投标报价要求</w:t>
            </w:r>
          </w:p>
        </w:tc>
        <w:tc>
          <w:tcPr>
            <w:tcW w:w="3293" w:type="pct"/>
          </w:tcPr>
          <w:p w14:paraId="5E522298">
            <w:pPr>
              <w:spacing w:line="360" w:lineRule="auto"/>
              <w:ind w:firstLine="420" w:firstLineChars="200"/>
              <w:rPr>
                <w:rFonts w:hint="eastAsia" w:ascii="宋体" w:hAnsi="宋体" w:eastAsia="宋体" w:cs="宋体"/>
              </w:rPr>
            </w:pPr>
            <w:r>
              <w:rPr>
                <w:rFonts w:hint="eastAsia" w:ascii="宋体" w:hAnsi="宋体" w:eastAsia="宋体" w:cs="宋体"/>
                <w:szCs w:val="21"/>
              </w:rPr>
              <w:t>本项目最高限价为</w:t>
            </w:r>
            <w:r>
              <w:rPr>
                <w:rFonts w:hint="eastAsia" w:ascii="宋体" w:hAnsi="宋体" w:eastAsia="宋体" w:cs="宋体"/>
                <w:szCs w:val="21"/>
                <w:lang w:val="en-US" w:eastAsia="zh-CN"/>
              </w:rPr>
              <w:t>143.33</w:t>
            </w:r>
            <w:r>
              <w:rPr>
                <w:rFonts w:hint="eastAsia" w:ascii="宋体" w:hAnsi="宋体" w:eastAsia="宋体" w:cs="宋体"/>
                <w:szCs w:val="21"/>
              </w:rPr>
              <w:t>万元，所报价格为华南农业大学交货价，包括货物设计、生产、采购、仓储、运输装卸、安装、随机零配件、标配工具、运输保险、调试、现场清理、验收、培训、质保期服务、售后服务、质保期备品备件、各项税费及合同实施过程中不可预见费用（包括但不限于国家和地方的法律法规政策变动风险、市场价格波动风险等）等各项费用。除本合同明确约定的费用外，采购人无需支付任何额外费用和承担任何额外义务。</w:t>
            </w:r>
          </w:p>
        </w:tc>
      </w:tr>
      <w:tr w14:paraId="102D72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4" w:type="pct"/>
            <w:vAlign w:val="center"/>
          </w:tcPr>
          <w:p w14:paraId="02300CC2">
            <w:pPr>
              <w:jc w:val="center"/>
              <w:rPr>
                <w:rFonts w:ascii="宋体" w:hAnsi="宋体" w:cs="宋体"/>
                <w:szCs w:val="21"/>
              </w:rPr>
            </w:pPr>
          </w:p>
        </w:tc>
        <w:tc>
          <w:tcPr>
            <w:tcW w:w="437" w:type="pct"/>
            <w:vAlign w:val="center"/>
          </w:tcPr>
          <w:p w14:paraId="68207BBB">
            <w:pPr>
              <w:jc w:val="center"/>
              <w:rPr>
                <w:rFonts w:ascii="宋体" w:hAnsi="宋体" w:cs="宋体"/>
                <w:szCs w:val="21"/>
              </w:rPr>
            </w:pPr>
            <w:r>
              <w:rPr>
                <w:rFonts w:hint="eastAsia" w:ascii="宋体" w:hAnsi="宋体" w:cs="宋体"/>
                <w:szCs w:val="21"/>
              </w:rPr>
              <w:t>2</w:t>
            </w:r>
          </w:p>
        </w:tc>
        <w:tc>
          <w:tcPr>
            <w:tcW w:w="934" w:type="pct"/>
            <w:vAlign w:val="center"/>
          </w:tcPr>
          <w:p w14:paraId="00CAD3FA">
            <w:pPr>
              <w:jc w:val="center"/>
              <w:rPr>
                <w:szCs w:val="21"/>
              </w:rPr>
            </w:pPr>
            <w:r>
              <w:rPr>
                <w:rFonts w:hint="eastAsia"/>
                <w:szCs w:val="21"/>
              </w:rPr>
              <w:t>总体要求</w:t>
            </w:r>
          </w:p>
        </w:tc>
        <w:tc>
          <w:tcPr>
            <w:tcW w:w="3293" w:type="pct"/>
          </w:tcPr>
          <w:p w14:paraId="1D84793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1、投标人包工包料，搬运、安装、现场清理，验收通过。</w:t>
            </w:r>
          </w:p>
          <w:p w14:paraId="055B583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2、投标人在投标文件中提交</w:t>
            </w:r>
            <w:bookmarkStart w:id="0" w:name="_GoBack"/>
            <w:bookmarkEnd w:id="0"/>
            <w:r>
              <w:rPr>
                <w:rFonts w:hint="eastAsia" w:ascii="宋体" w:hAnsi="宋体" w:eastAsia="宋体" w:cs="宋体"/>
                <w:szCs w:val="21"/>
              </w:rPr>
              <w:t>投标产品的深化设计及整体效果图，要求能反应尺寸、造型款式，并以文字形式说明各部分材质。</w:t>
            </w:r>
          </w:p>
          <w:p w14:paraId="2B60716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3、提供全新的货物和完善的服务,包括设计、生产、送货、安装及相关服务等。</w:t>
            </w:r>
          </w:p>
          <w:p w14:paraId="3943A7D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4、中标人安装现场工作、人员管理、交通工具使用等遵守相关国家法律法规及采购人有关规定，安全、文明施工。  </w:t>
            </w:r>
          </w:p>
          <w:p w14:paraId="4A9FF59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5、保证课桌椅安装稳固，所有材料均为环保产品。 </w:t>
            </w:r>
          </w:p>
        </w:tc>
      </w:tr>
      <w:tr w14:paraId="67CC39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4" w:type="pct"/>
            <w:vAlign w:val="center"/>
          </w:tcPr>
          <w:p w14:paraId="02F973C0">
            <w:pPr>
              <w:jc w:val="center"/>
              <w:rPr>
                <w:rFonts w:ascii="宋体" w:hAnsi="宋体" w:cs="宋体"/>
                <w:szCs w:val="21"/>
              </w:rPr>
            </w:pPr>
          </w:p>
        </w:tc>
        <w:tc>
          <w:tcPr>
            <w:tcW w:w="437" w:type="pct"/>
            <w:vAlign w:val="center"/>
          </w:tcPr>
          <w:p w14:paraId="17F8A7F0">
            <w:pPr>
              <w:jc w:val="center"/>
              <w:rPr>
                <w:rFonts w:ascii="宋体" w:hAnsi="宋体" w:cs="宋体"/>
                <w:szCs w:val="21"/>
              </w:rPr>
            </w:pPr>
            <w:r>
              <w:rPr>
                <w:rFonts w:hint="eastAsia" w:ascii="宋体" w:hAnsi="宋体" w:cs="宋体"/>
                <w:szCs w:val="21"/>
              </w:rPr>
              <w:t>3</w:t>
            </w:r>
          </w:p>
        </w:tc>
        <w:tc>
          <w:tcPr>
            <w:tcW w:w="934" w:type="pct"/>
            <w:vAlign w:val="center"/>
          </w:tcPr>
          <w:p w14:paraId="480365AE">
            <w:pPr>
              <w:jc w:val="center"/>
              <w:rPr>
                <w:szCs w:val="21"/>
              </w:rPr>
            </w:pPr>
            <w:r>
              <w:rPr>
                <w:rFonts w:hint="eastAsia"/>
                <w:szCs w:val="21"/>
              </w:rPr>
              <w:t>质量保证及售后服务</w:t>
            </w:r>
          </w:p>
        </w:tc>
        <w:tc>
          <w:tcPr>
            <w:tcW w:w="3293" w:type="pct"/>
          </w:tcPr>
          <w:p w14:paraId="7BDA678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1、中标人为其提供的投标货物提供质量保证期服务，质量保证期从货物安装完毕经验收合格之日起算不低于5年。质量保证期内，如因施工质量或材料质量造成返修，中标人除无条件返修外，</w:t>
            </w:r>
            <w:r>
              <w:t>并承担因此而产生的一切费用</w:t>
            </w:r>
            <w:r>
              <w:rPr>
                <w:rFonts w:hint="eastAsia" w:ascii="宋体" w:hAnsi="宋体" w:eastAsia="宋体" w:cs="宋体"/>
                <w:szCs w:val="21"/>
              </w:rPr>
              <w:t>；质量保证期满后需要进行维修的材料费由采购人承担，其余由中标人承担。</w:t>
            </w:r>
          </w:p>
          <w:p w14:paraId="485E858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质量保证期内，中标人在接到报修信息后，需在24小时内到场解决报修问题。不能及时解决问题的，需提供相同规格备用家具满足采购人临时使用要求，由此产生的一切费用均由中标人承担。如中标人不能按时到场修复，由采购人自行安排人员进行修复，</w:t>
            </w:r>
            <w:r>
              <w:rPr>
                <w:rFonts w:hint="eastAsia" w:ascii="宋体" w:hAnsi="宋体" w:eastAsia="宋体" w:cs="宋体"/>
              </w:rPr>
              <w:t>相关费用由中标人支出</w:t>
            </w:r>
            <w:r>
              <w:rPr>
                <w:rFonts w:hint="eastAsia" w:ascii="宋体" w:hAnsi="宋体" w:eastAsia="宋体" w:cs="宋体"/>
                <w:szCs w:val="21"/>
              </w:rPr>
              <w:t>。</w:t>
            </w:r>
          </w:p>
        </w:tc>
      </w:tr>
      <w:tr w14:paraId="2AD852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4" w:type="pct"/>
            <w:vAlign w:val="center"/>
          </w:tcPr>
          <w:p w14:paraId="0F299197">
            <w:pPr>
              <w:jc w:val="center"/>
              <w:rPr>
                <w:rFonts w:ascii="宋体" w:hAnsi="宋体" w:cs="宋体"/>
                <w:szCs w:val="21"/>
              </w:rPr>
            </w:pPr>
          </w:p>
        </w:tc>
        <w:tc>
          <w:tcPr>
            <w:tcW w:w="437" w:type="pct"/>
            <w:vAlign w:val="center"/>
          </w:tcPr>
          <w:p w14:paraId="2D6EE89D">
            <w:pPr>
              <w:jc w:val="center"/>
              <w:rPr>
                <w:rFonts w:ascii="宋体" w:hAnsi="宋体" w:cs="宋体"/>
                <w:szCs w:val="21"/>
              </w:rPr>
            </w:pPr>
            <w:r>
              <w:rPr>
                <w:rFonts w:hint="eastAsia" w:ascii="宋体" w:hAnsi="宋体" w:cs="宋体"/>
                <w:szCs w:val="21"/>
              </w:rPr>
              <w:t>4</w:t>
            </w:r>
          </w:p>
        </w:tc>
        <w:tc>
          <w:tcPr>
            <w:tcW w:w="934" w:type="pct"/>
            <w:vAlign w:val="center"/>
          </w:tcPr>
          <w:p w14:paraId="0D908C15">
            <w:pPr>
              <w:jc w:val="center"/>
              <w:rPr>
                <w:szCs w:val="21"/>
              </w:rPr>
            </w:pPr>
            <w:r>
              <w:rPr>
                <w:rFonts w:hint="eastAsia"/>
                <w:szCs w:val="21"/>
              </w:rPr>
              <w:t>包装及安装调试</w:t>
            </w:r>
          </w:p>
        </w:tc>
        <w:tc>
          <w:tcPr>
            <w:tcW w:w="3293" w:type="pct"/>
          </w:tcPr>
          <w:p w14:paraId="6A60F75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1、货物的包装和发运应符合货物特性要求。</w:t>
            </w:r>
          </w:p>
          <w:p w14:paraId="4182730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2、为了保证货物在长途运输和装卸过程中的安全，货物包装应符合国家或行业标准规定。由于包装不善导致货物锈蚀、失缺或损坏，由中标人承担一切责任。</w:t>
            </w:r>
          </w:p>
          <w:p w14:paraId="42A80D4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3、中标人应按工程进度安排计划，派出专业技术人员到安装现场负责安装和调试工作。在安装施工期间，严格遵守采购人的有关制度。</w:t>
            </w:r>
          </w:p>
          <w:p w14:paraId="5C15FF4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4、安装施工期间做到安全文明施工，不得损坏施工现场的任何设施，否则须原样修复或支付修复费用。</w:t>
            </w:r>
          </w:p>
          <w:p w14:paraId="14EF116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5、在中标人安装、调试后进行检查验收，如果发现数量不足，质量、技术或材料说明跟清单不符等问题，中标人应负责按照用户的要求采取补足更换等处理措施，并承担由此发生的一切损失和费用。</w:t>
            </w:r>
          </w:p>
          <w:p w14:paraId="65EB1A36">
            <w:pPr>
              <w:spacing w:line="360" w:lineRule="auto"/>
              <w:ind w:firstLine="420" w:firstLineChars="200"/>
              <w:rPr>
                <w:szCs w:val="21"/>
              </w:rPr>
            </w:pPr>
            <w:r>
              <w:rPr>
                <w:rFonts w:hint="eastAsia" w:ascii="宋体" w:hAnsi="宋体" w:eastAsia="宋体" w:cs="宋体"/>
                <w:szCs w:val="21"/>
              </w:rPr>
              <w:t>6、中标人在生产前，须对施工场地进行实地测量，和用户共同对产品进行合理优化，经用户确认最终技术方案后，方可批量生产。</w:t>
            </w:r>
          </w:p>
        </w:tc>
      </w:tr>
      <w:tr w14:paraId="664CC6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4" w:type="pct"/>
            <w:vAlign w:val="center"/>
          </w:tcPr>
          <w:p w14:paraId="09D8B5C5">
            <w:pPr>
              <w:jc w:val="center"/>
              <w:rPr>
                <w:rFonts w:ascii="宋体" w:hAnsi="宋体" w:cs="宋体"/>
                <w:szCs w:val="21"/>
              </w:rPr>
            </w:pPr>
          </w:p>
        </w:tc>
        <w:tc>
          <w:tcPr>
            <w:tcW w:w="437" w:type="pct"/>
            <w:vAlign w:val="center"/>
          </w:tcPr>
          <w:p w14:paraId="5D2B8615">
            <w:pPr>
              <w:jc w:val="center"/>
              <w:rPr>
                <w:rFonts w:ascii="宋体" w:hAnsi="宋体" w:cs="宋体"/>
                <w:szCs w:val="21"/>
              </w:rPr>
            </w:pPr>
            <w:r>
              <w:rPr>
                <w:rFonts w:hint="eastAsia" w:ascii="宋体" w:hAnsi="宋体" w:cs="宋体"/>
                <w:szCs w:val="21"/>
              </w:rPr>
              <w:t>5</w:t>
            </w:r>
          </w:p>
        </w:tc>
        <w:tc>
          <w:tcPr>
            <w:tcW w:w="934" w:type="pct"/>
            <w:vAlign w:val="center"/>
          </w:tcPr>
          <w:p w14:paraId="1E44800C">
            <w:pPr>
              <w:jc w:val="center"/>
              <w:rPr>
                <w:szCs w:val="21"/>
              </w:rPr>
            </w:pPr>
            <w:r>
              <w:rPr>
                <w:rFonts w:hint="eastAsia"/>
                <w:szCs w:val="21"/>
              </w:rPr>
              <w:t>违约责任</w:t>
            </w:r>
          </w:p>
        </w:tc>
        <w:tc>
          <w:tcPr>
            <w:tcW w:w="3293" w:type="pct"/>
          </w:tcPr>
          <w:p w14:paraId="1C9A16F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1、中标人交付的物品不符合合同规定的，采购人有权拒收，中标人向采购人支付货款总金额5%的违约金；</w:t>
            </w:r>
          </w:p>
          <w:p w14:paraId="533F711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2、采购人无正当理由拒收物品，拒付货款的，采购人向中标人偿付物品总金额5%的违约金；</w:t>
            </w:r>
          </w:p>
          <w:p w14:paraId="6EACA43D">
            <w:pPr>
              <w:spacing w:line="360" w:lineRule="auto"/>
              <w:ind w:firstLine="420" w:firstLineChars="200"/>
              <w:rPr>
                <w:szCs w:val="21"/>
              </w:rPr>
            </w:pPr>
            <w:r>
              <w:rPr>
                <w:rFonts w:hint="eastAsia" w:ascii="宋体" w:hAnsi="宋体" w:eastAsia="宋体" w:cs="宋体"/>
                <w:szCs w:val="21"/>
              </w:rPr>
              <w:t>3、为保证下学期开学后投入使用，所有课桌椅安装须在202</w:t>
            </w:r>
            <w:r>
              <w:rPr>
                <w:rFonts w:hint="eastAsia" w:ascii="宋体" w:hAnsi="宋体" w:eastAsia="宋体" w:cs="宋体"/>
                <w:szCs w:val="21"/>
                <w:lang w:val="en-US" w:eastAsia="zh-CN"/>
              </w:rPr>
              <w:t>6</w:t>
            </w:r>
            <w:r>
              <w:rPr>
                <w:rFonts w:hint="eastAsia" w:ascii="宋体" w:hAnsi="宋体" w:eastAsia="宋体" w:cs="宋体"/>
                <w:szCs w:val="21"/>
              </w:rPr>
              <w:t>年8月10日前完成。中标人逾期完工，每拖延一天，须向采购人支付合同总金额的万分之四的违约金，逾期15日以上的，除了应按前述标准向采购人加付违约金之外，采购人有权终止合同，中标人应当向采购人支付合同总金额的7.5%的违约金，因此造成的采购人经济损失由中标人承担。</w:t>
            </w:r>
          </w:p>
        </w:tc>
      </w:tr>
      <w:tr w14:paraId="0A5ABC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4" w:type="pct"/>
            <w:vAlign w:val="center"/>
          </w:tcPr>
          <w:p w14:paraId="293BB976">
            <w:pPr>
              <w:jc w:val="center"/>
              <w:rPr>
                <w:rFonts w:ascii="宋体" w:hAnsi="宋体" w:cs="宋体"/>
                <w:szCs w:val="21"/>
              </w:rPr>
            </w:pPr>
          </w:p>
        </w:tc>
        <w:tc>
          <w:tcPr>
            <w:tcW w:w="437" w:type="pct"/>
            <w:vAlign w:val="center"/>
          </w:tcPr>
          <w:p w14:paraId="41BD5BB9">
            <w:pPr>
              <w:jc w:val="center"/>
              <w:rPr>
                <w:rFonts w:ascii="宋体" w:hAnsi="宋体" w:cs="宋体"/>
                <w:szCs w:val="21"/>
              </w:rPr>
            </w:pPr>
            <w:r>
              <w:rPr>
                <w:rFonts w:hint="eastAsia" w:ascii="宋体" w:hAnsi="宋体" w:cs="宋体"/>
                <w:szCs w:val="21"/>
              </w:rPr>
              <w:t>6</w:t>
            </w:r>
          </w:p>
        </w:tc>
        <w:tc>
          <w:tcPr>
            <w:tcW w:w="934" w:type="pct"/>
            <w:vAlign w:val="center"/>
          </w:tcPr>
          <w:p w14:paraId="6C0816FA">
            <w:pPr>
              <w:jc w:val="center"/>
              <w:rPr>
                <w:szCs w:val="21"/>
              </w:rPr>
            </w:pPr>
            <w:r>
              <w:rPr>
                <w:rFonts w:hint="eastAsia"/>
                <w:szCs w:val="21"/>
              </w:rPr>
              <w:t>伴随服务</w:t>
            </w:r>
          </w:p>
        </w:tc>
        <w:tc>
          <w:tcPr>
            <w:tcW w:w="3293" w:type="pct"/>
          </w:tcPr>
          <w:p w14:paraId="2020B38B">
            <w:pPr>
              <w:spacing w:line="360" w:lineRule="auto"/>
              <w:ind w:firstLine="420" w:firstLineChars="200"/>
              <w:rPr>
                <w:szCs w:val="21"/>
              </w:rPr>
            </w:pPr>
            <w:r>
              <w:rPr>
                <w:rFonts w:hint="eastAsia"/>
                <w:color w:val="000000"/>
                <w:szCs w:val="21"/>
              </w:rPr>
              <w:t>中标人须负责拆卸、搬运、清理相应陈旧的课桌椅，负责施工现场的安全及清洁工作，并确保不造成学校财产损坏和环境污染。报价包含相应陈旧课桌椅的残值收入以及拆卸、搬运、清理、安全保险等费用支出。</w:t>
            </w:r>
          </w:p>
        </w:tc>
      </w:tr>
      <w:tr w14:paraId="1C8E85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4" w:type="pct"/>
            <w:vAlign w:val="center"/>
          </w:tcPr>
          <w:p w14:paraId="6B08F191">
            <w:pPr>
              <w:jc w:val="center"/>
              <w:rPr>
                <w:rFonts w:ascii="宋体" w:hAnsi="宋体" w:cs="宋体"/>
                <w:szCs w:val="21"/>
              </w:rPr>
            </w:pPr>
          </w:p>
        </w:tc>
        <w:tc>
          <w:tcPr>
            <w:tcW w:w="437" w:type="pct"/>
            <w:vAlign w:val="center"/>
          </w:tcPr>
          <w:p w14:paraId="277063E1">
            <w:pPr>
              <w:jc w:val="center"/>
              <w:rPr>
                <w:rFonts w:ascii="宋体" w:hAnsi="宋体" w:cs="宋体"/>
                <w:szCs w:val="21"/>
              </w:rPr>
            </w:pPr>
            <w:r>
              <w:rPr>
                <w:rFonts w:hint="eastAsia" w:ascii="宋体" w:hAnsi="宋体" w:cs="宋体"/>
                <w:szCs w:val="21"/>
              </w:rPr>
              <w:t>7</w:t>
            </w:r>
          </w:p>
        </w:tc>
        <w:tc>
          <w:tcPr>
            <w:tcW w:w="934" w:type="pct"/>
            <w:vAlign w:val="center"/>
          </w:tcPr>
          <w:p w14:paraId="5F1BE1A1">
            <w:pPr>
              <w:jc w:val="center"/>
              <w:rPr>
                <w:szCs w:val="21"/>
              </w:rPr>
            </w:pPr>
            <w:r>
              <w:rPr>
                <w:rFonts w:hint="eastAsia"/>
                <w:szCs w:val="21"/>
              </w:rPr>
              <w:t>产品质量标准</w:t>
            </w:r>
          </w:p>
        </w:tc>
        <w:tc>
          <w:tcPr>
            <w:tcW w:w="3293" w:type="pct"/>
          </w:tcPr>
          <w:p w14:paraId="668BA24B">
            <w:pPr>
              <w:spacing w:line="360" w:lineRule="auto"/>
              <w:ind w:firstLine="420" w:firstLineChars="200"/>
              <w:rPr>
                <w:szCs w:val="21"/>
              </w:rPr>
            </w:pPr>
            <w:r>
              <w:rPr>
                <w:rFonts w:hint="eastAsia"/>
                <w:szCs w:val="21"/>
              </w:rPr>
              <w:t>投标人所投的产品应是在中国范围内合法销售的原厂原装、全新的产品，表面无划伤、无碰撞，并且符合国家标准、行业标准以及该产品的出厂标准。</w:t>
            </w:r>
          </w:p>
        </w:tc>
      </w:tr>
      <w:tr w14:paraId="55E85F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4" w:type="pct"/>
            <w:vAlign w:val="center"/>
          </w:tcPr>
          <w:p w14:paraId="05C782FD">
            <w:pPr>
              <w:jc w:val="center"/>
              <w:rPr>
                <w:rFonts w:ascii="宋体" w:hAnsi="宋体" w:cs="宋体"/>
                <w:szCs w:val="21"/>
              </w:rPr>
            </w:pPr>
          </w:p>
        </w:tc>
        <w:tc>
          <w:tcPr>
            <w:tcW w:w="437" w:type="pct"/>
            <w:vAlign w:val="center"/>
          </w:tcPr>
          <w:p w14:paraId="089F552E">
            <w:pPr>
              <w:jc w:val="center"/>
              <w:rPr>
                <w:rFonts w:hint="eastAsia" w:ascii="宋体" w:hAnsi="宋体" w:eastAsia="宋体" w:cs="宋体"/>
                <w:szCs w:val="21"/>
                <w:lang w:val="en-US" w:eastAsia="zh-CN"/>
              </w:rPr>
            </w:pPr>
            <w:r>
              <w:rPr>
                <w:rFonts w:hint="eastAsia" w:ascii="宋体" w:hAnsi="宋体" w:cs="宋体"/>
                <w:szCs w:val="21"/>
                <w:lang w:val="en-US" w:eastAsia="zh-CN"/>
              </w:rPr>
              <w:t>8</w:t>
            </w:r>
          </w:p>
        </w:tc>
        <w:tc>
          <w:tcPr>
            <w:tcW w:w="934" w:type="pct"/>
            <w:vAlign w:val="center"/>
          </w:tcPr>
          <w:p w14:paraId="4EFC4674">
            <w:pPr>
              <w:jc w:val="center"/>
              <w:rPr>
                <w:rFonts w:hint="eastAsia"/>
                <w:szCs w:val="21"/>
              </w:rPr>
            </w:pPr>
            <w:r>
              <w:rPr>
                <w:rFonts w:hint="eastAsia"/>
                <w:szCs w:val="21"/>
              </w:rPr>
              <w:t>投标样品要求</w:t>
            </w:r>
          </w:p>
        </w:tc>
        <w:tc>
          <w:tcPr>
            <w:tcW w:w="3293" w:type="pct"/>
          </w:tcPr>
          <w:p w14:paraId="33A6B89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投标人在投标截止时间前应将实物样品一套（提供两座联排样板</w:t>
            </w:r>
            <w:r>
              <w:rPr>
                <w:rFonts w:hint="eastAsia" w:ascii="宋体" w:hAnsi="宋体" w:eastAsia="宋体" w:cs="宋体"/>
                <w:szCs w:val="21"/>
                <w:lang w:eastAsia="zh-CN"/>
              </w:rPr>
              <w:t>（</w:t>
            </w:r>
            <w:r>
              <w:rPr>
                <w:rFonts w:hint="eastAsia" w:ascii="宋体" w:hAnsi="宋体" w:eastAsia="宋体" w:cs="宋体"/>
                <w:szCs w:val="21"/>
                <w:lang w:val="en-US" w:eastAsia="zh-CN"/>
              </w:rPr>
              <w:t>中排</w:t>
            </w:r>
            <w:r>
              <w:rPr>
                <w:rFonts w:hint="eastAsia" w:ascii="宋体" w:hAnsi="宋体" w:eastAsia="宋体" w:cs="宋体"/>
                <w:szCs w:val="21"/>
                <w:lang w:eastAsia="zh-CN"/>
              </w:rPr>
              <w:t>）</w:t>
            </w:r>
            <w:r>
              <w:rPr>
                <w:rFonts w:hint="eastAsia" w:ascii="宋体" w:hAnsi="宋体" w:eastAsia="宋体" w:cs="宋体"/>
                <w:szCs w:val="21"/>
              </w:rPr>
              <w:t>，尺寸参考</w:t>
            </w:r>
            <w:r>
              <w:rPr>
                <w:rFonts w:hint="eastAsia" w:ascii="宋体" w:hAnsi="宋体" w:eastAsia="宋体" w:cs="宋体"/>
                <w:szCs w:val="21"/>
                <w:lang w:val="en-US" w:eastAsia="zh-CN"/>
              </w:rPr>
              <w:t>附表一具体技术（参数）要求</w:t>
            </w:r>
            <w:r>
              <w:rPr>
                <w:rFonts w:hint="eastAsia" w:ascii="宋体" w:hAnsi="宋体" w:eastAsia="宋体" w:cs="宋体"/>
                <w:szCs w:val="21"/>
              </w:rPr>
              <w:t>）递交到指定地点安装好。</w:t>
            </w:r>
          </w:p>
          <w:p w14:paraId="73ED084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1、每个样品必须标识投标人代号，与投标文件一同递交。</w:t>
            </w:r>
          </w:p>
          <w:p w14:paraId="1257087A">
            <w:pPr>
              <w:spacing w:line="360" w:lineRule="auto"/>
              <w:ind w:firstLine="420" w:firstLineChars="200"/>
              <w:rPr>
                <w:rFonts w:hint="eastAsia"/>
                <w:szCs w:val="21"/>
              </w:rPr>
            </w:pPr>
            <w:r>
              <w:rPr>
                <w:rFonts w:hint="eastAsia" w:ascii="宋体" w:hAnsi="宋体" w:eastAsia="宋体" w:cs="宋体"/>
                <w:szCs w:val="21"/>
              </w:rPr>
              <w:t>2、实物样品需按照用户需求中的技术要求的标准进行制作，如出现投标文件书面响应与投标实物样品不一致的情况，则以投标文件书面响应为准。本次投标人所提供的实物样品仅供评委评标时作为评分参考。采购人及采购代理机构对投标人所递交样品的破损或质量不负任何责任。中标人的实物样品不予退回，由中标人送到采购人校内指定地点，经采购人查验合格无误后作封样处理，以封样作为批量交货验收的核对标准。未中标的投标人请在项目结果公告发出之日起3个工作日后收到采购代理机构通知后取回实物样品；3日后投标人不取回样品，则视为自动放弃样品的所有权，采购人有权自行处置相关样品。</w:t>
            </w:r>
          </w:p>
        </w:tc>
      </w:tr>
    </w:tbl>
    <w:p w14:paraId="45FA2CA0">
      <w:pPr>
        <w:widowControl w:val="0"/>
        <w:spacing w:before="25" w:after="25" w:line="300" w:lineRule="auto"/>
        <w:jc w:val="both"/>
        <w:rPr>
          <w:rFonts w:ascii="Times" w:hAnsi="Times" w:eastAsia="宋体" w:cs="Times New Roman"/>
          <w:spacing w:val="10"/>
          <w:kern w:val="0"/>
          <w:sz w:val="24"/>
          <w:szCs w:val="20"/>
          <w:lang w:val="en-US" w:eastAsia="zh-CN" w:bidi="ar-SA"/>
        </w:rPr>
      </w:pPr>
    </w:p>
    <w:p w14:paraId="31E2165E">
      <w:pPr>
        <w:widowControl w:val="0"/>
        <w:numPr>
          <w:ilvl w:val="0"/>
          <w:numId w:val="0"/>
        </w:numPr>
        <w:spacing w:before="156" w:beforeLines="50" w:after="156" w:afterLines="50"/>
        <w:jc w:val="both"/>
        <w:rPr>
          <w:rFonts w:ascii="宋体" w:hAnsi="宋体" w:eastAsia="宋体" w:cs="Times New Roman"/>
          <w:b/>
          <w:bCs/>
          <w:kern w:val="2"/>
          <w:sz w:val="24"/>
          <w:szCs w:val="32"/>
          <w:lang w:val="en-US" w:eastAsia="zh-CN" w:bidi="ar-SA"/>
        </w:rPr>
      </w:pPr>
      <w:r>
        <w:rPr>
          <w:rFonts w:hint="eastAsia" w:ascii="宋体" w:hAnsi="宋体" w:eastAsia="宋体" w:cs="Times New Roman"/>
          <w:b/>
          <w:bCs/>
          <w:kern w:val="2"/>
          <w:sz w:val="24"/>
          <w:szCs w:val="32"/>
          <w:lang w:val="en-US" w:eastAsia="zh-CN" w:bidi="ar-SA"/>
        </w:rPr>
        <w:t>2.技术标准与要求</w:t>
      </w:r>
    </w:p>
    <w:tbl>
      <w:tblPr>
        <w:tblStyle w:val="6"/>
        <w:tblW w:w="499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2"/>
        <w:gridCol w:w="664"/>
        <w:gridCol w:w="852"/>
        <w:gridCol w:w="1095"/>
        <w:gridCol w:w="660"/>
        <w:gridCol w:w="870"/>
        <w:gridCol w:w="1485"/>
        <w:gridCol w:w="1505"/>
        <w:gridCol w:w="598"/>
        <w:gridCol w:w="395"/>
      </w:tblGrid>
      <w:tr w14:paraId="76287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0" w:type="pct"/>
            <w:vAlign w:val="center"/>
          </w:tcPr>
          <w:p w14:paraId="706EDD43">
            <w:pPr>
              <w:widowControl w:val="0"/>
              <w:numPr>
                <w:ilvl w:val="0"/>
                <w:numId w:val="0"/>
              </w:numPr>
              <w:spacing w:before="156" w:beforeLines="50" w:after="156" w:afterLines="50"/>
              <w:jc w:val="center"/>
              <w:rPr>
                <w:rFonts w:ascii="宋体" w:hAnsi="宋体" w:eastAsia="宋体" w:cs="Times New Roman"/>
                <w:b/>
                <w:color w:val="000000"/>
                <w:kern w:val="2"/>
                <w:sz w:val="21"/>
                <w:szCs w:val="21"/>
                <w:lang w:val="en-US" w:eastAsia="zh-CN" w:bidi="ar-SA"/>
              </w:rPr>
            </w:pPr>
            <w:r>
              <w:rPr>
                <w:rFonts w:hint="eastAsia" w:ascii="宋体" w:hAnsi="宋体" w:eastAsia="宋体" w:cs="Times New Roman"/>
                <w:b/>
                <w:color w:val="000000"/>
                <w:kern w:val="2"/>
                <w:sz w:val="21"/>
                <w:szCs w:val="21"/>
                <w:lang w:val="en-US" w:eastAsia="zh-CN" w:bidi="ar-SA"/>
              </w:rPr>
              <w:t>序号</w:t>
            </w:r>
          </w:p>
        </w:tc>
        <w:tc>
          <w:tcPr>
            <w:tcW w:w="389" w:type="pct"/>
            <w:vAlign w:val="center"/>
          </w:tcPr>
          <w:p w14:paraId="0271987B">
            <w:pPr>
              <w:widowControl w:val="0"/>
              <w:numPr>
                <w:ilvl w:val="0"/>
                <w:numId w:val="0"/>
              </w:numPr>
              <w:spacing w:before="156" w:beforeLines="50" w:after="156" w:afterLines="50"/>
              <w:jc w:val="center"/>
              <w:rPr>
                <w:rFonts w:ascii="宋体" w:hAnsi="宋体" w:eastAsia="宋体" w:cs="Times New Roman"/>
                <w:b/>
                <w:bCs/>
                <w:kern w:val="2"/>
                <w:sz w:val="21"/>
                <w:szCs w:val="21"/>
                <w:lang w:val="en-US" w:eastAsia="zh-CN" w:bidi="ar-SA"/>
              </w:rPr>
            </w:pPr>
            <w:r>
              <w:rPr>
                <w:rFonts w:hint="eastAsia" w:ascii="宋体" w:hAnsi="宋体" w:eastAsia="宋体" w:cs="Times New Roman"/>
                <w:b/>
                <w:color w:val="000000"/>
                <w:kern w:val="2"/>
                <w:sz w:val="21"/>
                <w:szCs w:val="21"/>
                <w:lang w:val="en-US" w:eastAsia="zh-CN" w:bidi="ar-SA"/>
              </w:rPr>
              <w:t>核心产品（“△”）</w:t>
            </w:r>
          </w:p>
        </w:tc>
        <w:tc>
          <w:tcPr>
            <w:tcW w:w="500" w:type="pct"/>
            <w:vAlign w:val="center"/>
          </w:tcPr>
          <w:p w14:paraId="29800D42">
            <w:pPr>
              <w:widowControl w:val="0"/>
              <w:numPr>
                <w:ilvl w:val="0"/>
                <w:numId w:val="0"/>
              </w:numPr>
              <w:spacing w:before="156" w:beforeLines="50" w:after="156" w:afterLines="50"/>
              <w:jc w:val="center"/>
              <w:rPr>
                <w:rFonts w:ascii="宋体" w:hAnsi="宋体" w:eastAsia="宋体" w:cs="Times New Roman"/>
                <w:b/>
                <w:bCs/>
                <w:kern w:val="2"/>
                <w:sz w:val="21"/>
                <w:szCs w:val="21"/>
                <w:lang w:val="en-US" w:eastAsia="zh-CN" w:bidi="ar-SA"/>
              </w:rPr>
            </w:pPr>
            <w:r>
              <w:rPr>
                <w:rFonts w:hint="eastAsia" w:ascii="宋体" w:hAnsi="宋体" w:eastAsia="宋体" w:cs="Times New Roman"/>
                <w:b/>
                <w:color w:val="000000"/>
                <w:kern w:val="2"/>
                <w:sz w:val="21"/>
                <w:szCs w:val="21"/>
                <w:lang w:val="en-US" w:eastAsia="zh-CN" w:bidi="ar-SA"/>
              </w:rPr>
              <w:t>品目名称</w:t>
            </w:r>
          </w:p>
        </w:tc>
        <w:tc>
          <w:tcPr>
            <w:tcW w:w="642" w:type="pct"/>
            <w:vAlign w:val="center"/>
          </w:tcPr>
          <w:p w14:paraId="43661705">
            <w:pPr>
              <w:widowControl w:val="0"/>
              <w:numPr>
                <w:ilvl w:val="0"/>
                <w:numId w:val="0"/>
              </w:numPr>
              <w:spacing w:before="156" w:beforeLines="50" w:after="156" w:afterLines="50"/>
              <w:jc w:val="center"/>
              <w:rPr>
                <w:rFonts w:ascii="宋体" w:hAnsi="宋体" w:eastAsia="宋体" w:cs="Times New Roman"/>
                <w:b/>
                <w:color w:val="000000"/>
                <w:kern w:val="2"/>
                <w:sz w:val="21"/>
                <w:szCs w:val="21"/>
                <w:lang w:val="en-US" w:eastAsia="zh-CN" w:bidi="ar-SA"/>
              </w:rPr>
            </w:pPr>
            <w:r>
              <w:rPr>
                <w:rFonts w:hint="eastAsia" w:ascii="宋体" w:hAnsi="宋体" w:eastAsia="宋体" w:cs="Times New Roman"/>
                <w:b/>
                <w:color w:val="000000"/>
                <w:kern w:val="2"/>
                <w:sz w:val="21"/>
                <w:szCs w:val="21"/>
                <w:lang w:val="en-US" w:eastAsia="zh-CN" w:bidi="ar-SA"/>
              </w:rPr>
              <w:t>标的名称</w:t>
            </w:r>
          </w:p>
        </w:tc>
        <w:tc>
          <w:tcPr>
            <w:tcW w:w="387" w:type="pct"/>
            <w:vAlign w:val="center"/>
          </w:tcPr>
          <w:p w14:paraId="1B2BB915">
            <w:pPr>
              <w:widowControl w:val="0"/>
              <w:numPr>
                <w:ilvl w:val="0"/>
                <w:numId w:val="0"/>
              </w:numPr>
              <w:spacing w:before="156" w:beforeLines="50" w:after="156" w:afterLines="50"/>
              <w:ind w:left="420" w:hanging="420"/>
              <w:jc w:val="center"/>
              <w:rPr>
                <w:rFonts w:ascii="宋体" w:hAnsi="宋体" w:eastAsia="宋体" w:cs="Times New Roman"/>
                <w:b/>
                <w:color w:val="000000"/>
                <w:kern w:val="2"/>
                <w:sz w:val="21"/>
                <w:szCs w:val="21"/>
                <w:lang w:val="en-US" w:eastAsia="zh-CN" w:bidi="ar-SA"/>
              </w:rPr>
            </w:pPr>
            <w:r>
              <w:rPr>
                <w:rFonts w:hint="eastAsia" w:ascii="宋体" w:hAnsi="宋体" w:eastAsia="宋体" w:cs="Times New Roman"/>
                <w:b/>
                <w:color w:val="000000"/>
                <w:kern w:val="2"/>
                <w:sz w:val="21"/>
                <w:szCs w:val="21"/>
                <w:lang w:val="en-US" w:eastAsia="zh-CN" w:bidi="ar-SA"/>
              </w:rPr>
              <w:t>单</w:t>
            </w:r>
          </w:p>
          <w:p w14:paraId="708B69B0">
            <w:pPr>
              <w:widowControl w:val="0"/>
              <w:numPr>
                <w:ilvl w:val="0"/>
                <w:numId w:val="0"/>
              </w:numPr>
              <w:spacing w:before="156" w:beforeLines="50" w:after="156" w:afterLines="50"/>
              <w:ind w:left="420" w:hanging="420"/>
              <w:jc w:val="center"/>
              <w:rPr>
                <w:rFonts w:ascii="宋体" w:hAnsi="宋体" w:eastAsia="宋体" w:cs="Times New Roman"/>
                <w:b/>
                <w:color w:val="000000"/>
                <w:kern w:val="2"/>
                <w:sz w:val="21"/>
                <w:szCs w:val="21"/>
                <w:lang w:val="en-US" w:eastAsia="zh-CN" w:bidi="ar-SA"/>
              </w:rPr>
            </w:pPr>
            <w:r>
              <w:rPr>
                <w:rFonts w:hint="eastAsia" w:ascii="宋体" w:hAnsi="宋体" w:eastAsia="宋体" w:cs="Times New Roman"/>
                <w:b/>
                <w:color w:val="000000"/>
                <w:kern w:val="2"/>
                <w:sz w:val="21"/>
                <w:szCs w:val="21"/>
                <w:lang w:val="en-US" w:eastAsia="zh-CN" w:bidi="ar-SA"/>
              </w:rPr>
              <w:t>位</w:t>
            </w:r>
          </w:p>
        </w:tc>
        <w:tc>
          <w:tcPr>
            <w:tcW w:w="510" w:type="pct"/>
            <w:vAlign w:val="center"/>
          </w:tcPr>
          <w:p w14:paraId="0AC621E2">
            <w:pPr>
              <w:widowControl w:val="0"/>
              <w:numPr>
                <w:ilvl w:val="0"/>
                <w:numId w:val="0"/>
              </w:numPr>
              <w:spacing w:before="156" w:beforeLines="50" w:after="156" w:afterLines="50"/>
              <w:jc w:val="center"/>
              <w:rPr>
                <w:rFonts w:ascii="宋体" w:hAnsi="宋体" w:eastAsia="宋体" w:cs="Times New Roman"/>
                <w:b/>
                <w:color w:val="000000"/>
                <w:kern w:val="2"/>
                <w:sz w:val="21"/>
                <w:szCs w:val="21"/>
                <w:lang w:val="en-US" w:eastAsia="zh-CN" w:bidi="ar-SA"/>
              </w:rPr>
            </w:pPr>
            <w:r>
              <w:rPr>
                <w:rFonts w:hint="eastAsia" w:ascii="宋体" w:hAnsi="宋体" w:eastAsia="宋体" w:cs="Times New Roman"/>
                <w:b/>
                <w:color w:val="000000"/>
                <w:kern w:val="2"/>
                <w:sz w:val="21"/>
                <w:szCs w:val="21"/>
                <w:lang w:val="en-US" w:eastAsia="zh-CN" w:bidi="ar-SA"/>
              </w:rPr>
              <w:t>数量</w:t>
            </w:r>
          </w:p>
        </w:tc>
        <w:tc>
          <w:tcPr>
            <w:tcW w:w="871" w:type="pct"/>
            <w:vAlign w:val="center"/>
          </w:tcPr>
          <w:p w14:paraId="44F095BE">
            <w:pPr>
              <w:widowControl w:val="0"/>
              <w:numPr>
                <w:ilvl w:val="0"/>
                <w:numId w:val="0"/>
              </w:numPr>
              <w:spacing w:before="156" w:beforeLines="50" w:after="156" w:afterLines="50"/>
              <w:jc w:val="center"/>
              <w:rPr>
                <w:rFonts w:ascii="宋体" w:hAnsi="宋体" w:eastAsia="宋体" w:cs="Times New Roman"/>
                <w:b/>
                <w:color w:val="000000"/>
                <w:kern w:val="2"/>
                <w:sz w:val="21"/>
                <w:szCs w:val="21"/>
                <w:lang w:val="en-US" w:eastAsia="zh-CN" w:bidi="ar-SA"/>
              </w:rPr>
            </w:pPr>
            <w:r>
              <w:rPr>
                <w:rFonts w:hint="eastAsia" w:ascii="宋体" w:hAnsi="宋体" w:eastAsia="宋体" w:cs="Times New Roman"/>
                <w:b/>
                <w:color w:val="000000"/>
                <w:kern w:val="2"/>
                <w:sz w:val="21"/>
                <w:szCs w:val="21"/>
                <w:lang w:val="en-US" w:eastAsia="zh-CN" w:bidi="ar-SA"/>
              </w:rPr>
              <w:t>分项预算单价（元）</w:t>
            </w:r>
          </w:p>
        </w:tc>
        <w:tc>
          <w:tcPr>
            <w:tcW w:w="883" w:type="pct"/>
            <w:vAlign w:val="center"/>
          </w:tcPr>
          <w:p w14:paraId="39F3DC9D">
            <w:pPr>
              <w:widowControl w:val="0"/>
              <w:numPr>
                <w:ilvl w:val="0"/>
                <w:numId w:val="0"/>
              </w:numPr>
              <w:spacing w:before="156" w:beforeLines="50" w:after="156" w:afterLines="50"/>
              <w:jc w:val="center"/>
              <w:rPr>
                <w:rFonts w:ascii="宋体" w:hAnsi="宋体" w:eastAsia="宋体" w:cs="Times New Roman"/>
                <w:b/>
                <w:color w:val="000000"/>
                <w:kern w:val="2"/>
                <w:sz w:val="21"/>
                <w:szCs w:val="21"/>
                <w:lang w:val="en-US" w:eastAsia="zh-CN" w:bidi="ar-SA"/>
              </w:rPr>
            </w:pPr>
            <w:r>
              <w:rPr>
                <w:rFonts w:hint="eastAsia" w:ascii="宋体" w:hAnsi="宋体" w:eastAsia="宋体" w:cs="Times New Roman"/>
                <w:b/>
                <w:color w:val="000000"/>
                <w:kern w:val="2"/>
                <w:sz w:val="21"/>
                <w:szCs w:val="21"/>
                <w:lang w:val="en-US" w:eastAsia="zh-CN" w:bidi="ar-SA"/>
              </w:rPr>
              <w:t>分项预算总价（元）</w:t>
            </w:r>
          </w:p>
        </w:tc>
        <w:tc>
          <w:tcPr>
            <w:tcW w:w="351" w:type="pct"/>
            <w:vAlign w:val="center"/>
          </w:tcPr>
          <w:p w14:paraId="6ECA9A06">
            <w:pPr>
              <w:widowControl w:val="0"/>
              <w:numPr>
                <w:ilvl w:val="0"/>
                <w:numId w:val="0"/>
              </w:numPr>
              <w:spacing w:before="156" w:beforeLines="50" w:after="156" w:afterLines="50"/>
              <w:jc w:val="center"/>
              <w:rPr>
                <w:rFonts w:ascii="宋体" w:hAnsi="宋体" w:eastAsia="宋体" w:cs="Times New Roman"/>
                <w:b/>
                <w:color w:val="000000"/>
                <w:kern w:val="2"/>
                <w:sz w:val="21"/>
                <w:szCs w:val="21"/>
                <w:lang w:val="en-US" w:eastAsia="zh-CN" w:bidi="ar-SA"/>
              </w:rPr>
            </w:pPr>
            <w:r>
              <w:rPr>
                <w:rFonts w:hint="eastAsia" w:ascii="宋体" w:hAnsi="宋体" w:eastAsia="宋体" w:cs="Times New Roman"/>
                <w:b/>
                <w:color w:val="000000"/>
                <w:kern w:val="2"/>
                <w:sz w:val="21"/>
                <w:szCs w:val="21"/>
                <w:lang w:val="en-US" w:eastAsia="zh-CN" w:bidi="ar-SA"/>
              </w:rPr>
              <w:t>所属行业</w:t>
            </w:r>
          </w:p>
        </w:tc>
        <w:tc>
          <w:tcPr>
            <w:tcW w:w="231" w:type="pct"/>
            <w:vAlign w:val="center"/>
          </w:tcPr>
          <w:p w14:paraId="67AD0E49">
            <w:pPr>
              <w:widowControl w:val="0"/>
              <w:numPr>
                <w:ilvl w:val="0"/>
                <w:numId w:val="0"/>
              </w:numPr>
              <w:spacing w:before="156" w:beforeLines="50" w:after="156" w:afterLines="50"/>
              <w:jc w:val="center"/>
              <w:rPr>
                <w:rFonts w:ascii="宋体" w:hAnsi="宋体" w:eastAsia="宋体" w:cs="Times New Roman"/>
                <w:b/>
                <w:color w:val="000000"/>
                <w:kern w:val="2"/>
                <w:sz w:val="21"/>
                <w:szCs w:val="21"/>
                <w:lang w:val="en-US" w:eastAsia="zh-CN" w:bidi="ar-SA"/>
              </w:rPr>
            </w:pPr>
            <w:r>
              <w:rPr>
                <w:rFonts w:hint="eastAsia" w:ascii="宋体" w:hAnsi="宋体" w:eastAsia="宋体" w:cs="Times New Roman"/>
                <w:b/>
                <w:color w:val="000000"/>
                <w:kern w:val="2"/>
                <w:sz w:val="21"/>
                <w:szCs w:val="21"/>
                <w:lang w:val="en-US" w:eastAsia="zh-CN" w:bidi="ar-SA"/>
              </w:rPr>
              <w:t>技术要求</w:t>
            </w:r>
          </w:p>
        </w:tc>
      </w:tr>
      <w:tr w14:paraId="4D8C7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0" w:type="pct"/>
            <w:vAlign w:val="center"/>
          </w:tcPr>
          <w:p w14:paraId="6C45EA56">
            <w:pPr>
              <w:widowControl w:val="0"/>
              <w:numPr>
                <w:ilvl w:val="0"/>
                <w:numId w:val="0"/>
              </w:numPr>
              <w:spacing w:before="156" w:beforeLines="50" w:after="156" w:afterLines="50"/>
              <w:jc w:val="center"/>
              <w:rPr>
                <w:rFonts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1</w:t>
            </w:r>
          </w:p>
        </w:tc>
        <w:tc>
          <w:tcPr>
            <w:tcW w:w="389" w:type="pct"/>
            <w:vAlign w:val="center"/>
          </w:tcPr>
          <w:p w14:paraId="08B7AC64">
            <w:pPr>
              <w:widowControl w:val="0"/>
              <w:numPr>
                <w:ilvl w:val="0"/>
                <w:numId w:val="0"/>
              </w:numPr>
              <w:spacing w:before="156" w:beforeLines="50" w:after="156" w:afterLines="50"/>
              <w:ind w:left="420" w:hanging="420"/>
              <w:jc w:val="center"/>
              <w:rPr>
                <w:rFonts w:ascii="宋体" w:hAnsi="宋体" w:eastAsia="宋体" w:cs="Times New Roman"/>
                <w:color w:val="000000"/>
                <w:kern w:val="2"/>
                <w:sz w:val="21"/>
                <w:szCs w:val="21"/>
                <w:lang w:val="en-US" w:eastAsia="zh-CN" w:bidi="ar-SA"/>
              </w:rPr>
            </w:pPr>
          </w:p>
        </w:tc>
        <w:tc>
          <w:tcPr>
            <w:tcW w:w="500" w:type="pct"/>
            <w:vAlign w:val="center"/>
          </w:tcPr>
          <w:p w14:paraId="259EBFE9">
            <w:pPr>
              <w:adjustRightInd w:val="0"/>
              <w:snapToGrid w:val="0"/>
              <w:jc w:val="center"/>
              <w:rPr>
                <w:rFonts w:ascii="宋体" w:hAnsi="宋体"/>
                <w:bCs/>
                <w:szCs w:val="21"/>
              </w:rPr>
            </w:pPr>
            <w:r>
              <w:rPr>
                <w:rFonts w:hint="eastAsia" w:ascii="宋体" w:hAnsi="宋体"/>
                <w:color w:val="000000"/>
                <w:szCs w:val="21"/>
              </w:rPr>
              <w:t>A05019900-其他家具</w:t>
            </w:r>
          </w:p>
        </w:tc>
        <w:tc>
          <w:tcPr>
            <w:tcW w:w="642" w:type="pct"/>
            <w:vAlign w:val="center"/>
          </w:tcPr>
          <w:p w14:paraId="47C6FED7">
            <w:pPr>
              <w:adjustRightInd w:val="0"/>
              <w:snapToGrid w:val="0"/>
              <w:jc w:val="center"/>
              <w:rPr>
                <w:rFonts w:ascii="Times New Roman" w:hAnsi="Times New Roman"/>
                <w:szCs w:val="21"/>
              </w:rPr>
            </w:pPr>
            <w:r>
              <w:rPr>
                <w:rFonts w:hint="eastAsia"/>
                <w:szCs w:val="21"/>
              </w:rPr>
              <w:t>固定课桌椅</w:t>
            </w:r>
          </w:p>
        </w:tc>
        <w:tc>
          <w:tcPr>
            <w:tcW w:w="387" w:type="pct"/>
            <w:vAlign w:val="center"/>
          </w:tcPr>
          <w:p w14:paraId="21214CA5">
            <w:pPr>
              <w:widowControl w:val="0"/>
              <w:shd w:val="clear" w:color="auto" w:fill="auto"/>
              <w:spacing w:after="0" w:line="360" w:lineRule="auto"/>
              <w:ind w:firstLine="0"/>
              <w:jc w:val="center"/>
              <w:rPr>
                <w:rFonts w:ascii="宋体" w:hAnsi="宋体" w:eastAsia="宋体" w:cs="宋体"/>
                <w:bCs/>
                <w:color w:val="000000"/>
                <w:kern w:val="0"/>
                <w:sz w:val="21"/>
                <w:szCs w:val="21"/>
                <w:lang w:val="zh-CN" w:eastAsia="zh-CN" w:bidi="zh-CN"/>
              </w:rPr>
            </w:pPr>
            <w:r>
              <w:rPr>
                <w:rFonts w:hint="eastAsia" w:ascii="宋体" w:hAnsi="宋体" w:eastAsia="宋体" w:cs="宋体"/>
                <w:bCs/>
                <w:color w:val="000000"/>
                <w:kern w:val="0"/>
                <w:sz w:val="21"/>
                <w:szCs w:val="21"/>
                <w:lang w:val="en-US" w:eastAsia="zh-CN" w:bidi="zh-CN"/>
              </w:rPr>
              <w:t>批</w:t>
            </w:r>
          </w:p>
        </w:tc>
        <w:tc>
          <w:tcPr>
            <w:tcW w:w="510" w:type="pct"/>
            <w:vAlign w:val="center"/>
          </w:tcPr>
          <w:p w14:paraId="66C692AF">
            <w:pPr>
              <w:widowControl w:val="0"/>
              <w:shd w:val="clear" w:color="auto" w:fill="auto"/>
              <w:spacing w:after="0" w:line="360" w:lineRule="auto"/>
              <w:ind w:firstLine="0"/>
              <w:jc w:val="center"/>
              <w:rPr>
                <w:rFonts w:hint="default" w:ascii="宋体" w:hAnsi="宋体" w:eastAsia="宋体" w:cs="宋体"/>
                <w:bCs/>
                <w:color w:val="000000"/>
                <w:kern w:val="0"/>
                <w:sz w:val="21"/>
                <w:szCs w:val="21"/>
                <w:lang w:val="en-US" w:eastAsia="zh-CN" w:bidi="zh-CN"/>
              </w:rPr>
            </w:pPr>
            <w:r>
              <w:rPr>
                <w:rFonts w:hint="eastAsia" w:ascii="宋体" w:hAnsi="宋体" w:eastAsia="宋体" w:cs="宋体"/>
                <w:bCs/>
                <w:color w:val="000000"/>
                <w:kern w:val="0"/>
                <w:sz w:val="21"/>
                <w:szCs w:val="21"/>
                <w:lang w:val="en-US" w:eastAsia="zh-CN" w:bidi="zh-CN"/>
              </w:rPr>
              <w:t>1.00</w:t>
            </w:r>
          </w:p>
        </w:tc>
        <w:tc>
          <w:tcPr>
            <w:tcW w:w="871" w:type="pct"/>
            <w:vAlign w:val="center"/>
          </w:tcPr>
          <w:p w14:paraId="22558151">
            <w:pPr>
              <w:widowControl w:val="0"/>
              <w:shd w:val="clear" w:color="auto" w:fill="auto"/>
              <w:spacing w:after="0" w:line="360" w:lineRule="auto"/>
              <w:ind w:firstLine="0"/>
              <w:jc w:val="center"/>
              <w:rPr>
                <w:rFonts w:hint="default" w:ascii="宋体" w:hAnsi="宋体" w:eastAsia="宋体" w:cs="宋体"/>
                <w:bCs/>
                <w:color w:val="000000"/>
                <w:kern w:val="0"/>
                <w:sz w:val="21"/>
                <w:szCs w:val="21"/>
                <w:lang w:val="en-US" w:eastAsia="zh-CN" w:bidi="zh-CN"/>
              </w:rPr>
            </w:pPr>
            <w:r>
              <w:rPr>
                <w:rFonts w:hint="eastAsia" w:ascii="宋体" w:hAnsi="宋体" w:eastAsia="宋体" w:cs="宋体"/>
                <w:bCs/>
                <w:color w:val="000000"/>
                <w:kern w:val="0"/>
                <w:sz w:val="21"/>
                <w:szCs w:val="21"/>
                <w:lang w:val="en-US" w:eastAsia="zh-CN" w:bidi="zh-CN"/>
              </w:rPr>
              <w:t>1,</w:t>
            </w:r>
            <w:r>
              <w:rPr>
                <w:rFonts w:hint="eastAsia" w:ascii="宋体" w:hAnsi="宋体" w:cs="宋体"/>
                <w:bCs/>
                <w:color w:val="000000"/>
                <w:kern w:val="0"/>
                <w:sz w:val="21"/>
                <w:szCs w:val="21"/>
                <w:lang w:val="en-US" w:eastAsia="zh-CN" w:bidi="zh-CN"/>
              </w:rPr>
              <w:t>433</w:t>
            </w:r>
            <w:r>
              <w:rPr>
                <w:rFonts w:hint="eastAsia" w:ascii="宋体" w:hAnsi="宋体" w:eastAsia="宋体" w:cs="宋体"/>
                <w:bCs/>
                <w:color w:val="000000"/>
                <w:kern w:val="0"/>
                <w:sz w:val="21"/>
                <w:szCs w:val="21"/>
                <w:lang w:val="en-US" w:eastAsia="zh-CN" w:bidi="zh-CN"/>
              </w:rPr>
              <w:t>,</w:t>
            </w:r>
            <w:r>
              <w:rPr>
                <w:rFonts w:hint="eastAsia" w:ascii="宋体" w:hAnsi="宋体" w:cs="宋体"/>
                <w:bCs/>
                <w:color w:val="000000"/>
                <w:kern w:val="0"/>
                <w:sz w:val="21"/>
                <w:szCs w:val="21"/>
                <w:lang w:val="en-US" w:eastAsia="zh-CN" w:bidi="zh-CN"/>
              </w:rPr>
              <w:t>3</w:t>
            </w:r>
            <w:r>
              <w:rPr>
                <w:rFonts w:hint="eastAsia" w:ascii="宋体" w:hAnsi="宋体" w:eastAsia="宋体" w:cs="宋体"/>
                <w:bCs/>
                <w:color w:val="000000"/>
                <w:kern w:val="0"/>
                <w:sz w:val="21"/>
                <w:szCs w:val="21"/>
                <w:lang w:val="en-US" w:eastAsia="zh-CN" w:bidi="zh-CN"/>
              </w:rPr>
              <w:t>00.00</w:t>
            </w:r>
          </w:p>
        </w:tc>
        <w:tc>
          <w:tcPr>
            <w:tcW w:w="883" w:type="pct"/>
            <w:vAlign w:val="center"/>
          </w:tcPr>
          <w:p w14:paraId="2429068E">
            <w:pPr>
              <w:widowControl w:val="0"/>
              <w:shd w:val="clear" w:color="auto" w:fill="auto"/>
              <w:spacing w:after="0" w:line="360" w:lineRule="auto"/>
              <w:ind w:firstLine="0"/>
              <w:jc w:val="center"/>
              <w:rPr>
                <w:rFonts w:ascii="宋体" w:hAnsi="宋体" w:eastAsia="宋体" w:cs="宋体"/>
                <w:bCs/>
                <w:color w:val="000000"/>
                <w:kern w:val="0"/>
                <w:sz w:val="21"/>
                <w:szCs w:val="21"/>
                <w:lang w:val="en-US" w:eastAsia="zh-CN" w:bidi="zh-CN"/>
              </w:rPr>
            </w:pPr>
            <w:r>
              <w:rPr>
                <w:rFonts w:hint="eastAsia" w:ascii="宋体" w:hAnsi="宋体" w:eastAsia="宋体" w:cs="宋体"/>
                <w:bCs/>
                <w:color w:val="000000"/>
                <w:kern w:val="0"/>
                <w:sz w:val="21"/>
                <w:szCs w:val="21"/>
                <w:lang w:val="en-US" w:eastAsia="zh-CN" w:bidi="zh-CN"/>
              </w:rPr>
              <w:t>1,</w:t>
            </w:r>
            <w:r>
              <w:rPr>
                <w:rFonts w:hint="eastAsia" w:ascii="宋体" w:hAnsi="宋体" w:cs="宋体"/>
                <w:bCs/>
                <w:color w:val="000000"/>
                <w:kern w:val="0"/>
                <w:sz w:val="21"/>
                <w:szCs w:val="21"/>
                <w:lang w:val="en-US" w:eastAsia="zh-CN" w:bidi="zh-CN"/>
              </w:rPr>
              <w:t>433</w:t>
            </w:r>
            <w:r>
              <w:rPr>
                <w:rFonts w:hint="eastAsia" w:ascii="宋体" w:hAnsi="宋体" w:eastAsia="宋体" w:cs="宋体"/>
                <w:bCs/>
                <w:color w:val="000000"/>
                <w:kern w:val="0"/>
                <w:sz w:val="21"/>
                <w:szCs w:val="21"/>
                <w:lang w:val="en-US" w:eastAsia="zh-CN" w:bidi="zh-CN"/>
              </w:rPr>
              <w:t>,</w:t>
            </w:r>
            <w:r>
              <w:rPr>
                <w:rFonts w:hint="eastAsia" w:ascii="宋体" w:hAnsi="宋体" w:cs="宋体"/>
                <w:bCs/>
                <w:color w:val="000000"/>
                <w:kern w:val="0"/>
                <w:sz w:val="21"/>
                <w:szCs w:val="21"/>
                <w:lang w:val="en-US" w:eastAsia="zh-CN" w:bidi="zh-CN"/>
              </w:rPr>
              <w:t>3</w:t>
            </w:r>
            <w:r>
              <w:rPr>
                <w:rFonts w:hint="eastAsia" w:ascii="宋体" w:hAnsi="宋体" w:eastAsia="宋体" w:cs="宋体"/>
                <w:bCs/>
                <w:color w:val="000000"/>
                <w:kern w:val="0"/>
                <w:sz w:val="21"/>
                <w:szCs w:val="21"/>
                <w:lang w:val="en-US" w:eastAsia="zh-CN" w:bidi="zh-CN"/>
              </w:rPr>
              <w:t>00.00</w:t>
            </w:r>
          </w:p>
        </w:tc>
        <w:tc>
          <w:tcPr>
            <w:tcW w:w="351" w:type="pct"/>
            <w:vAlign w:val="center"/>
          </w:tcPr>
          <w:p w14:paraId="7A1017F0">
            <w:pPr>
              <w:widowControl w:val="0"/>
              <w:shd w:val="clear" w:color="auto" w:fill="auto"/>
              <w:spacing w:after="0" w:line="360" w:lineRule="auto"/>
              <w:ind w:firstLine="0"/>
              <w:jc w:val="center"/>
              <w:rPr>
                <w:rFonts w:ascii="宋体" w:hAnsi="宋体" w:eastAsia="宋体" w:cs="宋体"/>
                <w:bCs/>
                <w:color w:val="000000"/>
                <w:kern w:val="0"/>
                <w:sz w:val="21"/>
                <w:szCs w:val="21"/>
                <w:lang w:val="zh-CN" w:eastAsia="zh-CN" w:bidi="zh-CN"/>
              </w:rPr>
            </w:pPr>
            <w:r>
              <w:rPr>
                <w:rFonts w:hint="eastAsia" w:ascii="宋体" w:hAnsi="宋体" w:eastAsia="宋体" w:cs="宋体"/>
                <w:kern w:val="0"/>
                <w:sz w:val="21"/>
                <w:szCs w:val="21"/>
                <w:lang w:val="en-US" w:eastAsia="zh-CN" w:bidi="zh-CN"/>
              </w:rPr>
              <w:t>工</w:t>
            </w:r>
            <w:r>
              <w:rPr>
                <w:rFonts w:ascii="宋体" w:hAnsi="宋体" w:eastAsia="宋体" w:cs="宋体"/>
                <w:kern w:val="0"/>
                <w:sz w:val="21"/>
                <w:szCs w:val="21"/>
                <w:lang w:val="zh-CN" w:eastAsia="zh-CN" w:bidi="zh-CN"/>
              </w:rPr>
              <w:t>业</w:t>
            </w:r>
          </w:p>
        </w:tc>
        <w:tc>
          <w:tcPr>
            <w:tcW w:w="231" w:type="pct"/>
            <w:vAlign w:val="center"/>
          </w:tcPr>
          <w:p w14:paraId="253981B3">
            <w:pPr>
              <w:widowControl w:val="0"/>
              <w:shd w:val="clear" w:color="auto" w:fill="auto"/>
              <w:spacing w:after="0" w:line="360" w:lineRule="auto"/>
              <w:ind w:firstLine="0"/>
              <w:jc w:val="center"/>
              <w:rPr>
                <w:rFonts w:ascii="宋体" w:hAnsi="宋体" w:eastAsia="宋体" w:cs="宋体"/>
                <w:bCs/>
                <w:color w:val="000000"/>
                <w:kern w:val="0"/>
                <w:sz w:val="21"/>
                <w:szCs w:val="21"/>
                <w:lang w:val="zh-CN" w:eastAsia="zh-CN" w:bidi="zh-CN"/>
              </w:rPr>
            </w:pPr>
            <w:r>
              <w:rPr>
                <w:rFonts w:hint="eastAsia" w:ascii="宋体" w:hAnsi="宋体" w:eastAsia="宋体" w:cs="宋体"/>
                <w:bCs/>
                <w:color w:val="000000"/>
                <w:kern w:val="0"/>
                <w:sz w:val="21"/>
                <w:szCs w:val="21"/>
                <w:lang w:val="zh-CN" w:eastAsia="zh-CN" w:bidi="zh-CN"/>
              </w:rPr>
              <w:t>详见附表一</w:t>
            </w:r>
          </w:p>
        </w:tc>
      </w:tr>
    </w:tbl>
    <w:p w14:paraId="46FA39DD">
      <w:pPr>
        <w:widowControl w:val="0"/>
        <w:numPr>
          <w:ilvl w:val="0"/>
          <w:numId w:val="0"/>
        </w:numPr>
        <w:spacing w:before="156" w:beforeLines="50" w:after="156" w:afterLines="50"/>
        <w:jc w:val="both"/>
        <w:rPr>
          <w:rFonts w:ascii="Times New Roman" w:hAnsi="Times New Roman" w:eastAsia="宋体" w:cs="Times New Roman"/>
          <w:b/>
          <w:bCs/>
          <w:kern w:val="2"/>
          <w:sz w:val="24"/>
          <w:szCs w:val="32"/>
          <w:lang w:val="en-US" w:eastAsia="zh-CN" w:bidi="ar-SA"/>
        </w:rPr>
      </w:pPr>
    </w:p>
    <w:p w14:paraId="0EC0065B">
      <w:pPr>
        <w:rPr>
          <w:b/>
          <w:bCs/>
          <w:sz w:val="24"/>
          <w:szCs w:val="32"/>
        </w:rPr>
      </w:pPr>
      <w:r>
        <w:rPr>
          <w:rFonts w:hint="eastAsia"/>
          <w:b/>
          <w:bCs/>
          <w:sz w:val="24"/>
          <w:szCs w:val="32"/>
        </w:rPr>
        <w:t>附表一（固定课桌椅）</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7"/>
        <w:gridCol w:w="427"/>
        <w:gridCol w:w="7668"/>
      </w:tblGrid>
      <w:tr w14:paraId="79484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27" w:type="dxa"/>
            <w:vAlign w:val="center"/>
          </w:tcPr>
          <w:p w14:paraId="3D23C1A5">
            <w:pPr>
              <w:widowControl w:val="0"/>
              <w:numPr>
                <w:ilvl w:val="0"/>
                <w:numId w:val="0"/>
              </w:numPr>
              <w:spacing w:before="156" w:beforeLines="50" w:after="156" w:afterLines="50"/>
              <w:jc w:val="center"/>
              <w:rPr>
                <w:rFonts w:ascii="Times New Roman" w:hAnsi="Times New Roman" w:eastAsia="宋体" w:cs="Times New Roman"/>
                <w:b/>
                <w:bCs/>
                <w:kern w:val="2"/>
                <w:sz w:val="21"/>
                <w:szCs w:val="21"/>
                <w:lang w:val="en-US" w:eastAsia="zh-CN" w:bidi="ar-SA"/>
              </w:rPr>
            </w:pPr>
            <w:r>
              <w:rPr>
                <w:rFonts w:hint="eastAsia" w:ascii="Times New Roman" w:hAnsi="Times New Roman" w:eastAsia="宋体" w:cs="Times New Roman"/>
                <w:b/>
                <w:bCs/>
                <w:kern w:val="2"/>
                <w:sz w:val="21"/>
                <w:szCs w:val="21"/>
                <w:lang w:val="en-US" w:eastAsia="zh-CN" w:bidi="ar-SA"/>
              </w:rPr>
              <w:t>参数性质</w:t>
            </w:r>
          </w:p>
        </w:tc>
        <w:tc>
          <w:tcPr>
            <w:tcW w:w="427" w:type="dxa"/>
            <w:vAlign w:val="center"/>
          </w:tcPr>
          <w:p w14:paraId="1665B397">
            <w:pPr>
              <w:widowControl w:val="0"/>
              <w:numPr>
                <w:ilvl w:val="0"/>
                <w:numId w:val="0"/>
              </w:numPr>
              <w:spacing w:before="156" w:beforeLines="50" w:after="156" w:afterLines="50"/>
              <w:jc w:val="center"/>
              <w:rPr>
                <w:rFonts w:ascii="Times New Roman" w:hAnsi="Times New Roman" w:eastAsia="宋体" w:cs="Times New Roman"/>
                <w:b/>
                <w:bCs/>
                <w:kern w:val="2"/>
                <w:sz w:val="21"/>
                <w:szCs w:val="21"/>
                <w:lang w:val="en-US" w:eastAsia="zh-CN" w:bidi="ar-SA"/>
              </w:rPr>
            </w:pPr>
            <w:r>
              <w:rPr>
                <w:rFonts w:hint="eastAsia" w:ascii="Times New Roman" w:hAnsi="Times New Roman" w:eastAsia="宋体" w:cs="Times New Roman"/>
                <w:b/>
                <w:bCs/>
                <w:kern w:val="2"/>
                <w:sz w:val="21"/>
                <w:szCs w:val="21"/>
                <w:lang w:val="en-US" w:eastAsia="zh-CN" w:bidi="ar-SA"/>
              </w:rPr>
              <w:t>序号</w:t>
            </w:r>
          </w:p>
        </w:tc>
        <w:tc>
          <w:tcPr>
            <w:tcW w:w="7668" w:type="dxa"/>
            <w:vAlign w:val="center"/>
          </w:tcPr>
          <w:p w14:paraId="1F254363">
            <w:pPr>
              <w:widowControl w:val="0"/>
              <w:numPr>
                <w:ilvl w:val="0"/>
                <w:numId w:val="0"/>
              </w:numPr>
              <w:spacing w:before="156" w:beforeLines="50" w:after="156" w:afterLines="50"/>
              <w:jc w:val="center"/>
              <w:rPr>
                <w:rFonts w:ascii="Times New Roman" w:hAnsi="Times New Roman" w:eastAsia="宋体" w:cs="Times New Roman"/>
                <w:b/>
                <w:bCs/>
                <w:kern w:val="2"/>
                <w:sz w:val="21"/>
                <w:szCs w:val="21"/>
                <w:lang w:val="en-US" w:eastAsia="zh-CN" w:bidi="ar-SA"/>
              </w:rPr>
            </w:pPr>
            <w:r>
              <w:rPr>
                <w:rFonts w:hint="eastAsia" w:ascii="Times New Roman" w:hAnsi="Times New Roman" w:eastAsia="宋体" w:cs="Times New Roman"/>
                <w:b/>
                <w:bCs/>
                <w:kern w:val="2"/>
                <w:sz w:val="21"/>
                <w:szCs w:val="21"/>
                <w:lang w:val="en-US" w:eastAsia="zh-CN" w:bidi="ar-SA"/>
              </w:rPr>
              <w:t>具体技术（参数）要求</w:t>
            </w:r>
          </w:p>
        </w:tc>
      </w:tr>
      <w:tr w14:paraId="46B8A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27" w:type="dxa"/>
            <w:vAlign w:val="center"/>
          </w:tcPr>
          <w:p w14:paraId="32252BD8">
            <w:pPr>
              <w:widowControl w:val="0"/>
              <w:numPr>
                <w:ilvl w:val="0"/>
                <w:numId w:val="0"/>
              </w:numPr>
              <w:spacing w:before="156" w:beforeLines="50" w:after="156" w:afterLines="50"/>
              <w:jc w:val="center"/>
              <w:rPr>
                <w:rFonts w:ascii="Times New Roman" w:hAnsi="Times New Roman" w:eastAsia="宋体" w:cs="Times New Roman"/>
                <w:b/>
                <w:bCs/>
                <w:kern w:val="2"/>
                <w:sz w:val="21"/>
                <w:szCs w:val="21"/>
                <w:lang w:val="en-US" w:eastAsia="zh-CN" w:bidi="ar-SA"/>
              </w:rPr>
            </w:pPr>
          </w:p>
        </w:tc>
        <w:tc>
          <w:tcPr>
            <w:tcW w:w="427" w:type="dxa"/>
            <w:vAlign w:val="center"/>
          </w:tcPr>
          <w:p w14:paraId="22F5EA3C">
            <w:pPr>
              <w:widowControl w:val="0"/>
              <w:numPr>
                <w:ilvl w:val="0"/>
                <w:numId w:val="0"/>
              </w:numPr>
              <w:spacing w:before="156" w:beforeLines="50" w:after="156" w:afterLines="50"/>
              <w:ind w:leftChars="0"/>
              <w:jc w:val="center"/>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1</w:t>
            </w:r>
          </w:p>
        </w:tc>
        <w:tc>
          <w:tcPr>
            <w:tcW w:w="7668" w:type="dxa"/>
            <w:vAlign w:val="center"/>
          </w:tcPr>
          <w:tbl>
            <w:tblPr>
              <w:tblStyle w:val="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4"/>
              <w:gridCol w:w="636"/>
              <w:gridCol w:w="457"/>
              <w:gridCol w:w="457"/>
              <w:gridCol w:w="3957"/>
              <w:gridCol w:w="1317"/>
            </w:tblGrid>
            <w:tr w14:paraId="7326E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DFDE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物品名称</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2939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E24F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D572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小序</w:t>
                  </w:r>
                </w:p>
              </w:tc>
              <w:tc>
                <w:tcPr>
                  <w:tcW w:w="2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DC33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技术规格、参数及要求</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85C3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36CEC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47" w:type="pct"/>
                  <w:vMerge w:val="restart"/>
                  <w:tcBorders>
                    <w:top w:val="single" w:color="000000" w:sz="4" w:space="0"/>
                    <w:left w:val="single" w:color="000000" w:sz="4" w:space="0"/>
                    <w:bottom w:val="nil"/>
                    <w:right w:val="single" w:color="000000" w:sz="4" w:space="0"/>
                  </w:tcBorders>
                  <w:shd w:val="clear" w:color="auto" w:fill="auto"/>
                  <w:vAlign w:val="center"/>
                </w:tcPr>
                <w:p w14:paraId="65E196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固定课桌椅</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2907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cs="宋体"/>
                      <w:i w:val="0"/>
                      <w:iCs w:val="0"/>
                      <w:color w:val="000000"/>
                      <w:kern w:val="0"/>
                      <w:sz w:val="21"/>
                      <w:szCs w:val="21"/>
                      <w:u w:val="none"/>
                      <w:lang w:val="en-US" w:eastAsia="zh-CN" w:bidi="ar"/>
                    </w:rPr>
                    <w:t>606</w:t>
                  </w:r>
                </w:p>
              </w:tc>
              <w:tc>
                <w:tcPr>
                  <w:tcW w:w="3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F106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位</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CDB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93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710D6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中心距：约520mm；座高：约450mm。</w:t>
                  </w:r>
                </w:p>
              </w:tc>
              <w:tc>
                <w:tcPr>
                  <w:tcW w:w="4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58ED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大部分课室座位排列为“3+8+3”或“3+7+3”，还有两间分别是“4+8+4”和“9+3”，合计前排数235位，后排数235位，中排数2371位。</w:t>
                  </w:r>
                </w:p>
              </w:tc>
            </w:tr>
            <w:tr w14:paraId="3185A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547" w:type="pct"/>
                  <w:vMerge w:val="continue"/>
                  <w:tcBorders>
                    <w:top w:val="single" w:color="000000" w:sz="4" w:space="0"/>
                    <w:left w:val="single" w:color="000000" w:sz="4" w:space="0"/>
                    <w:bottom w:val="nil"/>
                    <w:right w:val="single" w:color="000000" w:sz="4" w:space="0"/>
                  </w:tcBorders>
                  <w:shd w:val="clear" w:color="auto" w:fill="auto"/>
                  <w:vAlign w:val="center"/>
                </w:tcPr>
                <w:p w14:paraId="55C5E3D8">
                  <w:pPr>
                    <w:jc w:val="center"/>
                    <w:rPr>
                      <w:rFonts w:hint="eastAsia" w:ascii="宋体" w:hAnsi="宋体" w:eastAsia="宋体" w:cs="宋体"/>
                      <w:i w:val="0"/>
                      <w:iCs w:val="0"/>
                      <w:color w:val="000000"/>
                      <w:sz w:val="21"/>
                      <w:szCs w:val="21"/>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3549F">
                  <w:pPr>
                    <w:jc w:val="center"/>
                    <w:rPr>
                      <w:rFonts w:hint="eastAsia" w:ascii="宋体" w:hAnsi="宋体" w:eastAsia="宋体" w:cs="宋体"/>
                      <w:i w:val="0"/>
                      <w:iCs w:val="0"/>
                      <w:color w:val="000000"/>
                      <w:sz w:val="21"/>
                      <w:szCs w:val="21"/>
                      <w:u w:val="none"/>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1B682">
                  <w:pPr>
                    <w:jc w:val="center"/>
                    <w:rPr>
                      <w:rFonts w:hint="eastAsia" w:ascii="宋体" w:hAnsi="宋体" w:eastAsia="宋体" w:cs="宋体"/>
                      <w:i w:val="0"/>
                      <w:iCs w:val="0"/>
                      <w:color w:val="000000"/>
                      <w:sz w:val="24"/>
                      <w:szCs w:val="24"/>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B1F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939" w:type="pct"/>
                  <w:tcBorders>
                    <w:top w:val="nil"/>
                    <w:left w:val="single" w:color="000000" w:sz="8" w:space="0"/>
                    <w:bottom w:val="single" w:color="000000" w:sz="8" w:space="0"/>
                    <w:right w:val="single" w:color="000000" w:sz="8" w:space="0"/>
                  </w:tcBorders>
                  <w:shd w:val="clear" w:color="auto" w:fill="auto"/>
                  <w:vAlign w:val="center"/>
                </w:tcPr>
                <w:p w14:paraId="5A1F03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前排站脚：高度≥780mm、壁厚≥3.0mm、宽≥40mm。</w:t>
                  </w: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9F0B0">
                  <w:pPr>
                    <w:jc w:val="center"/>
                    <w:rPr>
                      <w:rFonts w:hint="eastAsia" w:ascii="宋体" w:hAnsi="宋体" w:eastAsia="宋体" w:cs="宋体"/>
                      <w:i w:val="0"/>
                      <w:iCs w:val="0"/>
                      <w:color w:val="000000"/>
                      <w:sz w:val="20"/>
                      <w:szCs w:val="20"/>
                      <w:u w:val="none"/>
                    </w:rPr>
                  </w:pPr>
                </w:p>
              </w:tc>
            </w:tr>
            <w:tr w14:paraId="1EB9D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47" w:type="pct"/>
                  <w:vMerge w:val="continue"/>
                  <w:tcBorders>
                    <w:top w:val="single" w:color="000000" w:sz="4" w:space="0"/>
                    <w:left w:val="single" w:color="000000" w:sz="4" w:space="0"/>
                    <w:bottom w:val="nil"/>
                    <w:right w:val="single" w:color="000000" w:sz="4" w:space="0"/>
                  </w:tcBorders>
                  <w:shd w:val="clear" w:color="auto" w:fill="auto"/>
                  <w:vAlign w:val="center"/>
                </w:tcPr>
                <w:p w14:paraId="6AB0799A">
                  <w:pPr>
                    <w:jc w:val="center"/>
                    <w:rPr>
                      <w:rFonts w:hint="eastAsia" w:ascii="宋体" w:hAnsi="宋体" w:eastAsia="宋体" w:cs="宋体"/>
                      <w:i w:val="0"/>
                      <w:iCs w:val="0"/>
                      <w:color w:val="000000"/>
                      <w:sz w:val="21"/>
                      <w:szCs w:val="21"/>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0C40A">
                  <w:pPr>
                    <w:jc w:val="center"/>
                    <w:rPr>
                      <w:rFonts w:hint="eastAsia" w:ascii="宋体" w:hAnsi="宋体" w:eastAsia="宋体" w:cs="宋体"/>
                      <w:i w:val="0"/>
                      <w:iCs w:val="0"/>
                      <w:color w:val="000000"/>
                      <w:sz w:val="21"/>
                      <w:szCs w:val="21"/>
                      <w:u w:val="none"/>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3F195">
                  <w:pPr>
                    <w:jc w:val="center"/>
                    <w:rPr>
                      <w:rFonts w:hint="eastAsia" w:ascii="宋体" w:hAnsi="宋体" w:eastAsia="宋体" w:cs="宋体"/>
                      <w:i w:val="0"/>
                      <w:iCs w:val="0"/>
                      <w:color w:val="000000"/>
                      <w:sz w:val="24"/>
                      <w:szCs w:val="24"/>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04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939" w:type="pct"/>
                  <w:tcBorders>
                    <w:top w:val="nil"/>
                    <w:left w:val="single" w:color="000000" w:sz="8" w:space="0"/>
                    <w:bottom w:val="single" w:color="000000" w:sz="8" w:space="0"/>
                    <w:right w:val="single" w:color="000000" w:sz="8" w:space="0"/>
                  </w:tcBorders>
                  <w:shd w:val="clear" w:color="auto" w:fill="auto"/>
                  <w:vAlign w:val="center"/>
                </w:tcPr>
                <w:p w14:paraId="598290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前排站脚：底部长度≥170mm、底部宽度≥120mm。</w:t>
                  </w: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51BD4">
                  <w:pPr>
                    <w:jc w:val="center"/>
                    <w:rPr>
                      <w:rFonts w:hint="eastAsia" w:ascii="宋体" w:hAnsi="宋体" w:eastAsia="宋体" w:cs="宋体"/>
                      <w:i w:val="0"/>
                      <w:iCs w:val="0"/>
                      <w:color w:val="000000"/>
                      <w:sz w:val="20"/>
                      <w:szCs w:val="20"/>
                      <w:u w:val="none"/>
                    </w:rPr>
                  </w:pPr>
                </w:p>
              </w:tc>
            </w:tr>
            <w:tr w14:paraId="4DF3D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47" w:type="pct"/>
                  <w:vMerge w:val="continue"/>
                  <w:tcBorders>
                    <w:top w:val="single" w:color="000000" w:sz="4" w:space="0"/>
                    <w:left w:val="single" w:color="000000" w:sz="4" w:space="0"/>
                    <w:bottom w:val="nil"/>
                    <w:right w:val="single" w:color="000000" w:sz="4" w:space="0"/>
                  </w:tcBorders>
                  <w:shd w:val="clear" w:color="auto" w:fill="auto"/>
                  <w:vAlign w:val="center"/>
                </w:tcPr>
                <w:p w14:paraId="2A1EC337">
                  <w:pPr>
                    <w:jc w:val="center"/>
                    <w:rPr>
                      <w:rFonts w:hint="eastAsia" w:ascii="宋体" w:hAnsi="宋体" w:eastAsia="宋体" w:cs="宋体"/>
                      <w:i w:val="0"/>
                      <w:iCs w:val="0"/>
                      <w:color w:val="000000"/>
                      <w:sz w:val="21"/>
                      <w:szCs w:val="21"/>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2EA0A">
                  <w:pPr>
                    <w:jc w:val="center"/>
                    <w:rPr>
                      <w:rFonts w:hint="eastAsia" w:ascii="宋体" w:hAnsi="宋体" w:eastAsia="宋体" w:cs="宋体"/>
                      <w:i w:val="0"/>
                      <w:iCs w:val="0"/>
                      <w:color w:val="000000"/>
                      <w:sz w:val="21"/>
                      <w:szCs w:val="21"/>
                      <w:u w:val="none"/>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B4B52">
                  <w:pPr>
                    <w:jc w:val="center"/>
                    <w:rPr>
                      <w:rFonts w:hint="eastAsia" w:ascii="宋体" w:hAnsi="宋体" w:eastAsia="宋体" w:cs="宋体"/>
                      <w:i w:val="0"/>
                      <w:iCs w:val="0"/>
                      <w:color w:val="000000"/>
                      <w:sz w:val="24"/>
                      <w:szCs w:val="24"/>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00F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939" w:type="pct"/>
                  <w:tcBorders>
                    <w:top w:val="nil"/>
                    <w:left w:val="single" w:color="000000" w:sz="8" w:space="0"/>
                    <w:bottom w:val="single" w:color="000000" w:sz="8" w:space="0"/>
                    <w:right w:val="single" w:color="000000" w:sz="8" w:space="0"/>
                  </w:tcBorders>
                  <w:shd w:val="clear" w:color="auto" w:fill="auto"/>
                  <w:vAlign w:val="center"/>
                </w:tcPr>
                <w:p w14:paraId="7177F1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前排站脚：底部采用三点式固定受力均匀、稳固，固定螺丝根据地面情况特定长度，外盖3个螺丝盖。</w:t>
                  </w: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2F65C">
                  <w:pPr>
                    <w:jc w:val="center"/>
                    <w:rPr>
                      <w:rFonts w:hint="eastAsia" w:ascii="宋体" w:hAnsi="宋体" w:eastAsia="宋体" w:cs="宋体"/>
                      <w:i w:val="0"/>
                      <w:iCs w:val="0"/>
                      <w:color w:val="000000"/>
                      <w:sz w:val="20"/>
                      <w:szCs w:val="20"/>
                      <w:u w:val="none"/>
                    </w:rPr>
                  </w:pPr>
                </w:p>
              </w:tc>
            </w:tr>
            <w:tr w14:paraId="69D80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47" w:type="pct"/>
                  <w:vMerge w:val="continue"/>
                  <w:tcBorders>
                    <w:top w:val="single" w:color="000000" w:sz="4" w:space="0"/>
                    <w:left w:val="single" w:color="000000" w:sz="4" w:space="0"/>
                    <w:bottom w:val="nil"/>
                    <w:right w:val="single" w:color="000000" w:sz="4" w:space="0"/>
                  </w:tcBorders>
                  <w:shd w:val="clear" w:color="auto" w:fill="auto"/>
                  <w:vAlign w:val="center"/>
                </w:tcPr>
                <w:p w14:paraId="0123EF35">
                  <w:pPr>
                    <w:jc w:val="center"/>
                    <w:rPr>
                      <w:rFonts w:hint="eastAsia" w:ascii="宋体" w:hAnsi="宋体" w:eastAsia="宋体" w:cs="宋体"/>
                      <w:i w:val="0"/>
                      <w:iCs w:val="0"/>
                      <w:color w:val="000000"/>
                      <w:sz w:val="21"/>
                      <w:szCs w:val="21"/>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B14F4">
                  <w:pPr>
                    <w:jc w:val="center"/>
                    <w:rPr>
                      <w:rFonts w:hint="eastAsia" w:ascii="宋体" w:hAnsi="宋体" w:eastAsia="宋体" w:cs="宋体"/>
                      <w:i w:val="0"/>
                      <w:iCs w:val="0"/>
                      <w:color w:val="000000"/>
                      <w:sz w:val="21"/>
                      <w:szCs w:val="21"/>
                      <w:u w:val="none"/>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AE4AA">
                  <w:pPr>
                    <w:jc w:val="center"/>
                    <w:rPr>
                      <w:rFonts w:hint="eastAsia" w:ascii="宋体" w:hAnsi="宋体" w:eastAsia="宋体" w:cs="宋体"/>
                      <w:i w:val="0"/>
                      <w:iCs w:val="0"/>
                      <w:color w:val="000000"/>
                      <w:sz w:val="24"/>
                      <w:szCs w:val="24"/>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601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939" w:type="pct"/>
                  <w:tcBorders>
                    <w:top w:val="nil"/>
                    <w:left w:val="single" w:color="000000" w:sz="8" w:space="0"/>
                    <w:bottom w:val="single" w:color="000000" w:sz="8" w:space="0"/>
                    <w:right w:val="single" w:color="000000" w:sz="8" w:space="0"/>
                  </w:tcBorders>
                  <w:shd w:val="clear" w:color="auto" w:fill="auto"/>
                  <w:vAlign w:val="center"/>
                </w:tcPr>
                <w:p w14:paraId="5C4041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中、后排站脚：高度≥935mm、壁厚≥4.0mm、宽≥40mm。</w:t>
                  </w: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CBFEF">
                  <w:pPr>
                    <w:jc w:val="center"/>
                    <w:rPr>
                      <w:rFonts w:hint="eastAsia" w:ascii="宋体" w:hAnsi="宋体" w:eastAsia="宋体" w:cs="宋体"/>
                      <w:i w:val="0"/>
                      <w:iCs w:val="0"/>
                      <w:color w:val="000000"/>
                      <w:sz w:val="20"/>
                      <w:szCs w:val="20"/>
                      <w:u w:val="none"/>
                    </w:rPr>
                  </w:pPr>
                </w:p>
              </w:tc>
            </w:tr>
            <w:tr w14:paraId="055BD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47" w:type="pct"/>
                  <w:vMerge w:val="continue"/>
                  <w:tcBorders>
                    <w:top w:val="single" w:color="000000" w:sz="4" w:space="0"/>
                    <w:left w:val="single" w:color="000000" w:sz="4" w:space="0"/>
                    <w:bottom w:val="nil"/>
                    <w:right w:val="single" w:color="000000" w:sz="4" w:space="0"/>
                  </w:tcBorders>
                  <w:shd w:val="clear" w:color="auto" w:fill="auto"/>
                  <w:vAlign w:val="center"/>
                </w:tcPr>
                <w:p w14:paraId="2ABE6485">
                  <w:pPr>
                    <w:jc w:val="center"/>
                    <w:rPr>
                      <w:rFonts w:hint="eastAsia" w:ascii="宋体" w:hAnsi="宋体" w:eastAsia="宋体" w:cs="宋体"/>
                      <w:i w:val="0"/>
                      <w:iCs w:val="0"/>
                      <w:color w:val="000000"/>
                      <w:sz w:val="21"/>
                      <w:szCs w:val="21"/>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CD3DE">
                  <w:pPr>
                    <w:jc w:val="center"/>
                    <w:rPr>
                      <w:rFonts w:hint="eastAsia" w:ascii="宋体" w:hAnsi="宋体" w:eastAsia="宋体" w:cs="宋体"/>
                      <w:i w:val="0"/>
                      <w:iCs w:val="0"/>
                      <w:color w:val="000000"/>
                      <w:sz w:val="21"/>
                      <w:szCs w:val="21"/>
                      <w:u w:val="none"/>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6398F">
                  <w:pPr>
                    <w:jc w:val="center"/>
                    <w:rPr>
                      <w:rFonts w:hint="eastAsia" w:ascii="宋体" w:hAnsi="宋体" w:eastAsia="宋体" w:cs="宋体"/>
                      <w:i w:val="0"/>
                      <w:iCs w:val="0"/>
                      <w:color w:val="000000"/>
                      <w:sz w:val="24"/>
                      <w:szCs w:val="24"/>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5CC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939" w:type="pct"/>
                  <w:tcBorders>
                    <w:top w:val="nil"/>
                    <w:left w:val="single" w:color="000000" w:sz="8" w:space="0"/>
                    <w:bottom w:val="single" w:color="000000" w:sz="8" w:space="0"/>
                    <w:right w:val="single" w:color="000000" w:sz="8" w:space="0"/>
                  </w:tcBorders>
                  <w:shd w:val="clear" w:color="auto" w:fill="auto"/>
                  <w:vAlign w:val="center"/>
                </w:tcPr>
                <w:p w14:paraId="1FAF44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中、后排站脚：底部到座板转轴高度：≥390mm、底部长度≥300mm,底部宽度≥40mm。</w:t>
                  </w: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7690F">
                  <w:pPr>
                    <w:jc w:val="center"/>
                    <w:rPr>
                      <w:rFonts w:hint="eastAsia" w:ascii="宋体" w:hAnsi="宋体" w:eastAsia="宋体" w:cs="宋体"/>
                      <w:i w:val="0"/>
                      <w:iCs w:val="0"/>
                      <w:color w:val="000000"/>
                      <w:sz w:val="20"/>
                      <w:szCs w:val="20"/>
                      <w:u w:val="none"/>
                    </w:rPr>
                  </w:pPr>
                </w:p>
              </w:tc>
            </w:tr>
            <w:tr w14:paraId="1A681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547" w:type="pct"/>
                  <w:vMerge w:val="continue"/>
                  <w:tcBorders>
                    <w:top w:val="single" w:color="000000" w:sz="4" w:space="0"/>
                    <w:left w:val="single" w:color="000000" w:sz="4" w:space="0"/>
                    <w:bottom w:val="nil"/>
                    <w:right w:val="single" w:color="000000" w:sz="4" w:space="0"/>
                  </w:tcBorders>
                  <w:shd w:val="clear" w:color="auto" w:fill="auto"/>
                  <w:vAlign w:val="center"/>
                </w:tcPr>
                <w:p w14:paraId="000E1E77">
                  <w:pPr>
                    <w:jc w:val="center"/>
                    <w:rPr>
                      <w:rFonts w:hint="eastAsia" w:ascii="宋体" w:hAnsi="宋体" w:eastAsia="宋体" w:cs="宋体"/>
                      <w:i w:val="0"/>
                      <w:iCs w:val="0"/>
                      <w:color w:val="000000"/>
                      <w:sz w:val="21"/>
                      <w:szCs w:val="21"/>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1CDC2">
                  <w:pPr>
                    <w:jc w:val="center"/>
                    <w:rPr>
                      <w:rFonts w:hint="eastAsia" w:ascii="宋体" w:hAnsi="宋体" w:eastAsia="宋体" w:cs="宋体"/>
                      <w:i w:val="0"/>
                      <w:iCs w:val="0"/>
                      <w:color w:val="000000"/>
                      <w:sz w:val="21"/>
                      <w:szCs w:val="21"/>
                      <w:u w:val="none"/>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59144">
                  <w:pPr>
                    <w:jc w:val="center"/>
                    <w:rPr>
                      <w:rFonts w:hint="eastAsia" w:ascii="宋体" w:hAnsi="宋体" w:eastAsia="宋体" w:cs="宋体"/>
                      <w:i w:val="0"/>
                      <w:iCs w:val="0"/>
                      <w:color w:val="000000"/>
                      <w:sz w:val="24"/>
                      <w:szCs w:val="24"/>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EBA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939" w:type="pct"/>
                  <w:tcBorders>
                    <w:top w:val="nil"/>
                    <w:left w:val="single" w:color="000000" w:sz="8" w:space="0"/>
                    <w:bottom w:val="single" w:color="000000" w:sz="8" w:space="0"/>
                    <w:right w:val="single" w:color="000000" w:sz="8" w:space="0"/>
                  </w:tcBorders>
                  <w:shd w:val="clear" w:color="auto" w:fill="auto"/>
                  <w:vAlign w:val="center"/>
                </w:tcPr>
                <w:p w14:paraId="2F61DE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中、后排站脚：底部采用2颗螺丝固定，固定螺丝根据地面情况特定长度，外盖2个螺丝盖，安装孔距≥260mm。</w:t>
                  </w: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DF658">
                  <w:pPr>
                    <w:jc w:val="center"/>
                    <w:rPr>
                      <w:rFonts w:hint="eastAsia" w:ascii="宋体" w:hAnsi="宋体" w:eastAsia="宋体" w:cs="宋体"/>
                      <w:i w:val="0"/>
                      <w:iCs w:val="0"/>
                      <w:color w:val="000000"/>
                      <w:sz w:val="20"/>
                      <w:szCs w:val="20"/>
                      <w:u w:val="none"/>
                    </w:rPr>
                  </w:pPr>
                </w:p>
              </w:tc>
            </w:tr>
            <w:tr w14:paraId="1AA63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47" w:type="pct"/>
                  <w:vMerge w:val="continue"/>
                  <w:tcBorders>
                    <w:top w:val="single" w:color="000000" w:sz="4" w:space="0"/>
                    <w:left w:val="single" w:color="000000" w:sz="4" w:space="0"/>
                    <w:bottom w:val="nil"/>
                    <w:right w:val="single" w:color="000000" w:sz="4" w:space="0"/>
                  </w:tcBorders>
                  <w:shd w:val="clear" w:color="auto" w:fill="auto"/>
                  <w:vAlign w:val="center"/>
                </w:tcPr>
                <w:p w14:paraId="0B8CFD83">
                  <w:pPr>
                    <w:jc w:val="center"/>
                    <w:rPr>
                      <w:rFonts w:hint="eastAsia" w:ascii="宋体" w:hAnsi="宋体" w:eastAsia="宋体" w:cs="宋体"/>
                      <w:i w:val="0"/>
                      <w:iCs w:val="0"/>
                      <w:color w:val="000000"/>
                      <w:sz w:val="21"/>
                      <w:szCs w:val="21"/>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D606F">
                  <w:pPr>
                    <w:jc w:val="center"/>
                    <w:rPr>
                      <w:rFonts w:hint="eastAsia" w:ascii="宋体" w:hAnsi="宋体" w:eastAsia="宋体" w:cs="宋体"/>
                      <w:i w:val="0"/>
                      <w:iCs w:val="0"/>
                      <w:color w:val="000000"/>
                      <w:sz w:val="21"/>
                      <w:szCs w:val="21"/>
                      <w:u w:val="none"/>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E2BC0">
                  <w:pPr>
                    <w:jc w:val="center"/>
                    <w:rPr>
                      <w:rFonts w:hint="eastAsia" w:ascii="宋体" w:hAnsi="宋体" w:eastAsia="宋体" w:cs="宋体"/>
                      <w:i w:val="0"/>
                      <w:iCs w:val="0"/>
                      <w:color w:val="000000"/>
                      <w:sz w:val="24"/>
                      <w:szCs w:val="24"/>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F44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939" w:type="pct"/>
                  <w:tcBorders>
                    <w:top w:val="nil"/>
                    <w:left w:val="single" w:color="000000" w:sz="8" w:space="0"/>
                    <w:bottom w:val="single" w:color="000000" w:sz="8" w:space="0"/>
                    <w:right w:val="single" w:color="000000" w:sz="8" w:space="0"/>
                  </w:tcBorders>
                  <w:shd w:val="clear" w:color="auto" w:fill="auto"/>
                  <w:vAlign w:val="center"/>
                </w:tcPr>
                <w:p w14:paraId="09917D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站脚：采用铝合金经模具压铸一体成型。</w:t>
                  </w: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005D7">
                  <w:pPr>
                    <w:jc w:val="center"/>
                    <w:rPr>
                      <w:rFonts w:hint="eastAsia" w:ascii="宋体" w:hAnsi="宋体" w:eastAsia="宋体" w:cs="宋体"/>
                      <w:i w:val="0"/>
                      <w:iCs w:val="0"/>
                      <w:color w:val="000000"/>
                      <w:sz w:val="20"/>
                      <w:szCs w:val="20"/>
                      <w:u w:val="none"/>
                    </w:rPr>
                  </w:pPr>
                </w:p>
              </w:tc>
            </w:tr>
            <w:tr w14:paraId="1265B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47" w:type="pct"/>
                  <w:vMerge w:val="continue"/>
                  <w:tcBorders>
                    <w:top w:val="single" w:color="000000" w:sz="4" w:space="0"/>
                    <w:left w:val="single" w:color="000000" w:sz="4" w:space="0"/>
                    <w:bottom w:val="nil"/>
                    <w:right w:val="single" w:color="000000" w:sz="4" w:space="0"/>
                  </w:tcBorders>
                  <w:shd w:val="clear" w:color="auto" w:fill="auto"/>
                  <w:vAlign w:val="center"/>
                </w:tcPr>
                <w:p w14:paraId="56F60B0D">
                  <w:pPr>
                    <w:jc w:val="center"/>
                    <w:rPr>
                      <w:rFonts w:hint="eastAsia" w:ascii="宋体" w:hAnsi="宋体" w:eastAsia="宋体" w:cs="宋体"/>
                      <w:i w:val="0"/>
                      <w:iCs w:val="0"/>
                      <w:color w:val="000000"/>
                      <w:sz w:val="21"/>
                      <w:szCs w:val="21"/>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2A7A5">
                  <w:pPr>
                    <w:jc w:val="center"/>
                    <w:rPr>
                      <w:rFonts w:hint="eastAsia" w:ascii="宋体" w:hAnsi="宋体" w:eastAsia="宋体" w:cs="宋体"/>
                      <w:i w:val="0"/>
                      <w:iCs w:val="0"/>
                      <w:color w:val="000000"/>
                      <w:sz w:val="21"/>
                      <w:szCs w:val="21"/>
                      <w:u w:val="none"/>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B43A0">
                  <w:pPr>
                    <w:jc w:val="center"/>
                    <w:rPr>
                      <w:rFonts w:hint="eastAsia" w:ascii="宋体" w:hAnsi="宋体" w:eastAsia="宋体" w:cs="宋体"/>
                      <w:i w:val="0"/>
                      <w:iCs w:val="0"/>
                      <w:color w:val="000000"/>
                      <w:sz w:val="24"/>
                      <w:szCs w:val="24"/>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8D8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939" w:type="pct"/>
                  <w:tcBorders>
                    <w:top w:val="nil"/>
                    <w:left w:val="single" w:color="000000" w:sz="8" w:space="0"/>
                    <w:bottom w:val="single" w:color="000000" w:sz="8" w:space="0"/>
                    <w:right w:val="single" w:color="000000" w:sz="8" w:space="0"/>
                  </w:tcBorders>
                  <w:shd w:val="clear" w:color="auto" w:fill="auto"/>
                  <w:vAlign w:val="center"/>
                </w:tcPr>
                <w:p w14:paraId="371DEB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站脚：表面经打磨、抛光、喷淋清洗防氧化处理后经静电喷粉、高温锔炉等工序精制而成，漆膜附着力强、抗冲击、耐腐蚀、不褪色。</w:t>
                  </w: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FA3E2">
                  <w:pPr>
                    <w:jc w:val="center"/>
                    <w:rPr>
                      <w:rFonts w:hint="eastAsia" w:ascii="宋体" w:hAnsi="宋体" w:eastAsia="宋体" w:cs="宋体"/>
                      <w:i w:val="0"/>
                      <w:iCs w:val="0"/>
                      <w:color w:val="000000"/>
                      <w:sz w:val="20"/>
                      <w:szCs w:val="20"/>
                      <w:u w:val="none"/>
                    </w:rPr>
                  </w:pPr>
                </w:p>
              </w:tc>
            </w:tr>
            <w:tr w14:paraId="719B2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47" w:type="pct"/>
                  <w:vMerge w:val="continue"/>
                  <w:tcBorders>
                    <w:top w:val="single" w:color="000000" w:sz="4" w:space="0"/>
                    <w:left w:val="single" w:color="000000" w:sz="4" w:space="0"/>
                    <w:bottom w:val="nil"/>
                    <w:right w:val="single" w:color="000000" w:sz="4" w:space="0"/>
                  </w:tcBorders>
                  <w:shd w:val="clear" w:color="auto" w:fill="auto"/>
                  <w:vAlign w:val="center"/>
                </w:tcPr>
                <w:p w14:paraId="37753EA8">
                  <w:pPr>
                    <w:jc w:val="center"/>
                    <w:rPr>
                      <w:rFonts w:hint="eastAsia" w:ascii="宋体" w:hAnsi="宋体" w:eastAsia="宋体" w:cs="宋体"/>
                      <w:i w:val="0"/>
                      <w:iCs w:val="0"/>
                      <w:color w:val="000000"/>
                      <w:sz w:val="21"/>
                      <w:szCs w:val="21"/>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14A6A">
                  <w:pPr>
                    <w:jc w:val="center"/>
                    <w:rPr>
                      <w:rFonts w:hint="eastAsia" w:ascii="宋体" w:hAnsi="宋体" w:eastAsia="宋体" w:cs="宋体"/>
                      <w:i w:val="0"/>
                      <w:iCs w:val="0"/>
                      <w:color w:val="000000"/>
                      <w:sz w:val="21"/>
                      <w:szCs w:val="21"/>
                      <w:u w:val="none"/>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4DAF6">
                  <w:pPr>
                    <w:jc w:val="center"/>
                    <w:rPr>
                      <w:rFonts w:hint="eastAsia" w:ascii="宋体" w:hAnsi="宋体" w:eastAsia="宋体" w:cs="宋体"/>
                      <w:i w:val="0"/>
                      <w:iCs w:val="0"/>
                      <w:color w:val="000000"/>
                      <w:sz w:val="24"/>
                      <w:szCs w:val="24"/>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365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939" w:type="pct"/>
                  <w:tcBorders>
                    <w:top w:val="nil"/>
                    <w:left w:val="single" w:color="000000" w:sz="8" w:space="0"/>
                    <w:bottom w:val="single" w:color="000000" w:sz="8" w:space="0"/>
                    <w:right w:val="single" w:color="000000" w:sz="8" w:space="0"/>
                  </w:tcBorders>
                  <w:shd w:val="clear" w:color="auto" w:fill="auto"/>
                  <w:vAlign w:val="center"/>
                </w:tcPr>
                <w:p w14:paraId="77640E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▲中排站脚重量不低于3.5KG。</w:t>
                  </w: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8ABE9">
                  <w:pPr>
                    <w:jc w:val="center"/>
                    <w:rPr>
                      <w:rFonts w:hint="eastAsia" w:ascii="宋体" w:hAnsi="宋体" w:eastAsia="宋体" w:cs="宋体"/>
                      <w:i w:val="0"/>
                      <w:iCs w:val="0"/>
                      <w:color w:val="000000"/>
                      <w:sz w:val="20"/>
                      <w:szCs w:val="20"/>
                      <w:u w:val="none"/>
                    </w:rPr>
                  </w:pPr>
                </w:p>
              </w:tc>
            </w:tr>
            <w:tr w14:paraId="20752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547" w:type="pct"/>
                  <w:vMerge w:val="continue"/>
                  <w:tcBorders>
                    <w:top w:val="single" w:color="000000" w:sz="4" w:space="0"/>
                    <w:left w:val="single" w:color="000000" w:sz="4" w:space="0"/>
                    <w:bottom w:val="nil"/>
                    <w:right w:val="single" w:color="000000" w:sz="4" w:space="0"/>
                  </w:tcBorders>
                  <w:shd w:val="clear" w:color="auto" w:fill="auto"/>
                  <w:vAlign w:val="center"/>
                </w:tcPr>
                <w:p w14:paraId="6AE66FBB">
                  <w:pPr>
                    <w:jc w:val="center"/>
                    <w:rPr>
                      <w:rFonts w:hint="eastAsia" w:ascii="宋体" w:hAnsi="宋体" w:eastAsia="宋体" w:cs="宋体"/>
                      <w:i w:val="0"/>
                      <w:iCs w:val="0"/>
                      <w:color w:val="000000"/>
                      <w:sz w:val="21"/>
                      <w:szCs w:val="21"/>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30D23">
                  <w:pPr>
                    <w:jc w:val="center"/>
                    <w:rPr>
                      <w:rFonts w:hint="eastAsia" w:ascii="宋体" w:hAnsi="宋体" w:eastAsia="宋体" w:cs="宋体"/>
                      <w:i w:val="0"/>
                      <w:iCs w:val="0"/>
                      <w:color w:val="000000"/>
                      <w:sz w:val="21"/>
                      <w:szCs w:val="21"/>
                      <w:u w:val="none"/>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9DA1C">
                  <w:pPr>
                    <w:jc w:val="center"/>
                    <w:rPr>
                      <w:rFonts w:hint="eastAsia" w:ascii="宋体" w:hAnsi="宋体" w:eastAsia="宋体" w:cs="宋体"/>
                      <w:i w:val="0"/>
                      <w:iCs w:val="0"/>
                      <w:color w:val="000000"/>
                      <w:sz w:val="24"/>
                      <w:szCs w:val="24"/>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CE8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939" w:type="pct"/>
                  <w:tcBorders>
                    <w:top w:val="nil"/>
                    <w:left w:val="single" w:color="000000" w:sz="8" w:space="0"/>
                    <w:bottom w:val="single" w:color="000000" w:sz="8" w:space="0"/>
                    <w:right w:val="single" w:color="000000" w:sz="8" w:space="0"/>
                  </w:tcBorders>
                  <w:shd w:val="clear" w:color="auto" w:fill="auto"/>
                  <w:vAlign w:val="center"/>
                </w:tcPr>
                <w:p w14:paraId="5C51ED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站脚固定螺丝：采用全包围内藏式地爆螺丝固定，静电喷涂圆柱头内六角螺杆，坚固、耐用、不易生锈，螺丝需配螺丝帽。</w:t>
                  </w: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66EDF">
                  <w:pPr>
                    <w:jc w:val="center"/>
                    <w:rPr>
                      <w:rFonts w:hint="eastAsia" w:ascii="宋体" w:hAnsi="宋体" w:eastAsia="宋体" w:cs="宋体"/>
                      <w:i w:val="0"/>
                      <w:iCs w:val="0"/>
                      <w:color w:val="000000"/>
                      <w:sz w:val="20"/>
                      <w:szCs w:val="20"/>
                      <w:u w:val="none"/>
                    </w:rPr>
                  </w:pPr>
                </w:p>
              </w:tc>
            </w:tr>
            <w:tr w14:paraId="209B0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47" w:type="pct"/>
                  <w:vMerge w:val="continue"/>
                  <w:tcBorders>
                    <w:top w:val="single" w:color="000000" w:sz="4" w:space="0"/>
                    <w:left w:val="single" w:color="000000" w:sz="4" w:space="0"/>
                    <w:bottom w:val="nil"/>
                    <w:right w:val="single" w:color="000000" w:sz="4" w:space="0"/>
                  </w:tcBorders>
                  <w:shd w:val="clear" w:color="auto" w:fill="auto"/>
                  <w:vAlign w:val="center"/>
                </w:tcPr>
                <w:p w14:paraId="133C2072">
                  <w:pPr>
                    <w:jc w:val="center"/>
                    <w:rPr>
                      <w:rFonts w:hint="eastAsia" w:ascii="宋体" w:hAnsi="宋体" w:eastAsia="宋体" w:cs="宋体"/>
                      <w:i w:val="0"/>
                      <w:iCs w:val="0"/>
                      <w:color w:val="000000"/>
                      <w:sz w:val="21"/>
                      <w:szCs w:val="21"/>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B5889">
                  <w:pPr>
                    <w:jc w:val="center"/>
                    <w:rPr>
                      <w:rFonts w:hint="eastAsia" w:ascii="宋体" w:hAnsi="宋体" w:eastAsia="宋体" w:cs="宋体"/>
                      <w:i w:val="0"/>
                      <w:iCs w:val="0"/>
                      <w:color w:val="000000"/>
                      <w:sz w:val="21"/>
                      <w:szCs w:val="21"/>
                      <w:u w:val="none"/>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A2C26">
                  <w:pPr>
                    <w:jc w:val="center"/>
                    <w:rPr>
                      <w:rFonts w:hint="eastAsia" w:ascii="宋体" w:hAnsi="宋体" w:eastAsia="宋体" w:cs="宋体"/>
                      <w:i w:val="0"/>
                      <w:iCs w:val="0"/>
                      <w:color w:val="000000"/>
                      <w:sz w:val="24"/>
                      <w:szCs w:val="24"/>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95E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939" w:type="pct"/>
                  <w:tcBorders>
                    <w:top w:val="nil"/>
                    <w:left w:val="single" w:color="000000" w:sz="8" w:space="0"/>
                    <w:bottom w:val="single" w:color="000000" w:sz="8" w:space="0"/>
                    <w:right w:val="single" w:color="000000" w:sz="8" w:space="0"/>
                  </w:tcBorders>
                  <w:shd w:val="clear" w:color="auto" w:fill="auto"/>
                  <w:vAlign w:val="center"/>
                </w:tcPr>
                <w:p w14:paraId="59BB24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椅背规格：宽≥500mm*高≥460mm*厚≥30mm，侧边条规格为460mm*75mm（±5mm）*30mm。</w:t>
                  </w: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FC424">
                  <w:pPr>
                    <w:jc w:val="center"/>
                    <w:rPr>
                      <w:rFonts w:hint="eastAsia" w:ascii="宋体" w:hAnsi="宋体" w:eastAsia="宋体" w:cs="宋体"/>
                      <w:i w:val="0"/>
                      <w:iCs w:val="0"/>
                      <w:color w:val="000000"/>
                      <w:sz w:val="20"/>
                      <w:szCs w:val="20"/>
                      <w:u w:val="none"/>
                    </w:rPr>
                  </w:pPr>
                </w:p>
              </w:tc>
            </w:tr>
            <w:tr w14:paraId="5769D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47" w:type="pct"/>
                  <w:vMerge w:val="continue"/>
                  <w:tcBorders>
                    <w:top w:val="single" w:color="000000" w:sz="4" w:space="0"/>
                    <w:left w:val="single" w:color="000000" w:sz="4" w:space="0"/>
                    <w:bottom w:val="nil"/>
                    <w:right w:val="single" w:color="000000" w:sz="4" w:space="0"/>
                  </w:tcBorders>
                  <w:shd w:val="clear" w:color="auto" w:fill="auto"/>
                  <w:vAlign w:val="center"/>
                </w:tcPr>
                <w:p w14:paraId="56CD2ED3">
                  <w:pPr>
                    <w:jc w:val="center"/>
                    <w:rPr>
                      <w:rFonts w:hint="eastAsia" w:ascii="宋体" w:hAnsi="宋体" w:eastAsia="宋体" w:cs="宋体"/>
                      <w:i w:val="0"/>
                      <w:iCs w:val="0"/>
                      <w:color w:val="000000"/>
                      <w:sz w:val="21"/>
                      <w:szCs w:val="21"/>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2BAD9">
                  <w:pPr>
                    <w:jc w:val="center"/>
                    <w:rPr>
                      <w:rFonts w:hint="eastAsia" w:ascii="宋体" w:hAnsi="宋体" w:eastAsia="宋体" w:cs="宋体"/>
                      <w:i w:val="0"/>
                      <w:iCs w:val="0"/>
                      <w:color w:val="000000"/>
                      <w:sz w:val="21"/>
                      <w:szCs w:val="21"/>
                      <w:u w:val="none"/>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156C9">
                  <w:pPr>
                    <w:jc w:val="center"/>
                    <w:rPr>
                      <w:rFonts w:hint="eastAsia" w:ascii="宋体" w:hAnsi="宋体" w:eastAsia="宋体" w:cs="宋体"/>
                      <w:i w:val="0"/>
                      <w:iCs w:val="0"/>
                      <w:color w:val="000000"/>
                      <w:sz w:val="24"/>
                      <w:szCs w:val="24"/>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AE7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939" w:type="pct"/>
                  <w:tcBorders>
                    <w:top w:val="nil"/>
                    <w:left w:val="single" w:color="000000" w:sz="8" w:space="0"/>
                    <w:bottom w:val="single" w:color="000000" w:sz="8" w:space="0"/>
                    <w:right w:val="single" w:color="000000" w:sz="8" w:space="0"/>
                  </w:tcBorders>
                  <w:shd w:val="clear" w:color="auto" w:fill="auto"/>
                  <w:vAlign w:val="center"/>
                </w:tcPr>
                <w:p w14:paraId="2B2166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椅背：中间横条为6～7根，上边横条和下边横条宽度要比中间横条大。</w:t>
                  </w: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5CCC9">
                  <w:pPr>
                    <w:jc w:val="center"/>
                    <w:rPr>
                      <w:rFonts w:hint="eastAsia" w:ascii="宋体" w:hAnsi="宋体" w:eastAsia="宋体" w:cs="宋体"/>
                      <w:i w:val="0"/>
                      <w:iCs w:val="0"/>
                      <w:color w:val="000000"/>
                      <w:sz w:val="20"/>
                      <w:szCs w:val="20"/>
                      <w:u w:val="none"/>
                    </w:rPr>
                  </w:pPr>
                </w:p>
              </w:tc>
            </w:tr>
            <w:tr w14:paraId="00C7E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47" w:type="pct"/>
                  <w:vMerge w:val="continue"/>
                  <w:tcBorders>
                    <w:top w:val="single" w:color="000000" w:sz="4" w:space="0"/>
                    <w:left w:val="single" w:color="000000" w:sz="4" w:space="0"/>
                    <w:bottom w:val="nil"/>
                    <w:right w:val="single" w:color="000000" w:sz="4" w:space="0"/>
                  </w:tcBorders>
                  <w:shd w:val="clear" w:color="auto" w:fill="auto"/>
                  <w:vAlign w:val="center"/>
                </w:tcPr>
                <w:p w14:paraId="380DCE43">
                  <w:pPr>
                    <w:jc w:val="center"/>
                    <w:rPr>
                      <w:rFonts w:hint="eastAsia" w:ascii="宋体" w:hAnsi="宋体" w:eastAsia="宋体" w:cs="宋体"/>
                      <w:i w:val="0"/>
                      <w:iCs w:val="0"/>
                      <w:color w:val="000000"/>
                      <w:sz w:val="21"/>
                      <w:szCs w:val="21"/>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B160E">
                  <w:pPr>
                    <w:jc w:val="center"/>
                    <w:rPr>
                      <w:rFonts w:hint="eastAsia" w:ascii="宋体" w:hAnsi="宋体" w:eastAsia="宋体" w:cs="宋体"/>
                      <w:i w:val="0"/>
                      <w:iCs w:val="0"/>
                      <w:color w:val="000000"/>
                      <w:sz w:val="21"/>
                      <w:szCs w:val="21"/>
                      <w:u w:val="none"/>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C0475">
                  <w:pPr>
                    <w:jc w:val="center"/>
                    <w:rPr>
                      <w:rFonts w:hint="eastAsia" w:ascii="宋体" w:hAnsi="宋体" w:eastAsia="宋体" w:cs="宋体"/>
                      <w:i w:val="0"/>
                      <w:iCs w:val="0"/>
                      <w:color w:val="000000"/>
                      <w:sz w:val="24"/>
                      <w:szCs w:val="24"/>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893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939" w:type="pct"/>
                  <w:tcBorders>
                    <w:top w:val="nil"/>
                    <w:left w:val="single" w:color="000000" w:sz="8" w:space="0"/>
                    <w:bottom w:val="single" w:color="000000" w:sz="8" w:space="0"/>
                    <w:right w:val="single" w:color="000000" w:sz="8" w:space="0"/>
                  </w:tcBorders>
                  <w:shd w:val="clear" w:color="auto" w:fill="auto"/>
                  <w:vAlign w:val="center"/>
                </w:tcPr>
                <w:p w14:paraId="0388A8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椅座规格：宽≥440mm*深≥460mm*厚≥30mm，侧边条规格为460mm*60mm（±5mm）*30mm。</w:t>
                  </w: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2782C">
                  <w:pPr>
                    <w:jc w:val="center"/>
                    <w:rPr>
                      <w:rFonts w:hint="eastAsia" w:ascii="宋体" w:hAnsi="宋体" w:eastAsia="宋体" w:cs="宋体"/>
                      <w:i w:val="0"/>
                      <w:iCs w:val="0"/>
                      <w:color w:val="000000"/>
                      <w:sz w:val="20"/>
                      <w:szCs w:val="20"/>
                      <w:u w:val="none"/>
                    </w:rPr>
                  </w:pPr>
                </w:p>
              </w:tc>
            </w:tr>
            <w:tr w14:paraId="75C85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47" w:type="pct"/>
                  <w:vMerge w:val="continue"/>
                  <w:tcBorders>
                    <w:top w:val="single" w:color="000000" w:sz="4" w:space="0"/>
                    <w:left w:val="single" w:color="000000" w:sz="4" w:space="0"/>
                    <w:bottom w:val="nil"/>
                    <w:right w:val="single" w:color="000000" w:sz="4" w:space="0"/>
                  </w:tcBorders>
                  <w:shd w:val="clear" w:color="auto" w:fill="auto"/>
                  <w:vAlign w:val="center"/>
                </w:tcPr>
                <w:p w14:paraId="2A423785">
                  <w:pPr>
                    <w:jc w:val="center"/>
                    <w:rPr>
                      <w:rFonts w:hint="eastAsia" w:ascii="宋体" w:hAnsi="宋体" w:eastAsia="宋体" w:cs="宋体"/>
                      <w:i w:val="0"/>
                      <w:iCs w:val="0"/>
                      <w:color w:val="000000"/>
                      <w:sz w:val="21"/>
                      <w:szCs w:val="21"/>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9B145">
                  <w:pPr>
                    <w:jc w:val="center"/>
                    <w:rPr>
                      <w:rFonts w:hint="eastAsia" w:ascii="宋体" w:hAnsi="宋体" w:eastAsia="宋体" w:cs="宋体"/>
                      <w:i w:val="0"/>
                      <w:iCs w:val="0"/>
                      <w:color w:val="000000"/>
                      <w:sz w:val="21"/>
                      <w:szCs w:val="21"/>
                      <w:u w:val="none"/>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A69B3">
                  <w:pPr>
                    <w:jc w:val="center"/>
                    <w:rPr>
                      <w:rFonts w:hint="eastAsia" w:ascii="宋体" w:hAnsi="宋体" w:eastAsia="宋体" w:cs="宋体"/>
                      <w:i w:val="0"/>
                      <w:iCs w:val="0"/>
                      <w:color w:val="000000"/>
                      <w:sz w:val="24"/>
                      <w:szCs w:val="24"/>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7C8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939" w:type="pct"/>
                  <w:tcBorders>
                    <w:top w:val="nil"/>
                    <w:left w:val="single" w:color="000000" w:sz="8" w:space="0"/>
                    <w:bottom w:val="single" w:color="000000" w:sz="8" w:space="0"/>
                    <w:right w:val="single" w:color="000000" w:sz="8" w:space="0"/>
                  </w:tcBorders>
                  <w:shd w:val="clear" w:color="auto" w:fill="auto"/>
                  <w:vAlign w:val="center"/>
                </w:tcPr>
                <w:p w14:paraId="27BE12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椅座：中间横条为6～7根，前边横条和后边横条宽度要比中间横条大。</w:t>
                  </w: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3FE02">
                  <w:pPr>
                    <w:jc w:val="center"/>
                    <w:rPr>
                      <w:rFonts w:hint="eastAsia" w:ascii="宋体" w:hAnsi="宋体" w:eastAsia="宋体" w:cs="宋体"/>
                      <w:i w:val="0"/>
                      <w:iCs w:val="0"/>
                      <w:color w:val="000000"/>
                      <w:sz w:val="20"/>
                      <w:szCs w:val="20"/>
                      <w:u w:val="none"/>
                    </w:rPr>
                  </w:pPr>
                </w:p>
              </w:tc>
            </w:tr>
            <w:tr w14:paraId="4BA61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47" w:type="pct"/>
                  <w:vMerge w:val="continue"/>
                  <w:tcBorders>
                    <w:top w:val="single" w:color="000000" w:sz="4" w:space="0"/>
                    <w:left w:val="single" w:color="000000" w:sz="4" w:space="0"/>
                    <w:bottom w:val="nil"/>
                    <w:right w:val="single" w:color="000000" w:sz="4" w:space="0"/>
                  </w:tcBorders>
                  <w:shd w:val="clear" w:color="auto" w:fill="auto"/>
                  <w:vAlign w:val="center"/>
                </w:tcPr>
                <w:p w14:paraId="29D0BDBC">
                  <w:pPr>
                    <w:jc w:val="center"/>
                    <w:rPr>
                      <w:rFonts w:hint="eastAsia" w:ascii="宋体" w:hAnsi="宋体" w:eastAsia="宋体" w:cs="宋体"/>
                      <w:i w:val="0"/>
                      <w:iCs w:val="0"/>
                      <w:color w:val="000000"/>
                      <w:sz w:val="21"/>
                      <w:szCs w:val="21"/>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8A40F">
                  <w:pPr>
                    <w:jc w:val="center"/>
                    <w:rPr>
                      <w:rFonts w:hint="eastAsia" w:ascii="宋体" w:hAnsi="宋体" w:eastAsia="宋体" w:cs="宋体"/>
                      <w:i w:val="0"/>
                      <w:iCs w:val="0"/>
                      <w:color w:val="000000"/>
                      <w:sz w:val="21"/>
                      <w:szCs w:val="21"/>
                      <w:u w:val="none"/>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D9897">
                  <w:pPr>
                    <w:jc w:val="center"/>
                    <w:rPr>
                      <w:rFonts w:hint="eastAsia" w:ascii="宋体" w:hAnsi="宋体" w:eastAsia="宋体" w:cs="宋体"/>
                      <w:i w:val="0"/>
                      <w:iCs w:val="0"/>
                      <w:color w:val="000000"/>
                      <w:sz w:val="24"/>
                      <w:szCs w:val="24"/>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2CA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939" w:type="pct"/>
                  <w:tcBorders>
                    <w:top w:val="nil"/>
                    <w:left w:val="single" w:color="000000" w:sz="8" w:space="0"/>
                    <w:bottom w:val="single" w:color="000000" w:sz="8" w:space="0"/>
                    <w:right w:val="single" w:color="000000" w:sz="8" w:space="0"/>
                  </w:tcBorders>
                  <w:shd w:val="clear" w:color="auto" w:fill="auto"/>
                  <w:vAlign w:val="center"/>
                </w:tcPr>
                <w:p w14:paraId="4E0D5A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▲椅背及椅座采用橡胶木实木制作，榫接部位紧固，中间横条紧密连接无缝隙。</w:t>
                  </w: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3A0A1">
                  <w:pPr>
                    <w:jc w:val="center"/>
                    <w:rPr>
                      <w:rFonts w:hint="eastAsia" w:ascii="宋体" w:hAnsi="宋体" w:eastAsia="宋体" w:cs="宋体"/>
                      <w:i w:val="0"/>
                      <w:iCs w:val="0"/>
                      <w:color w:val="000000"/>
                      <w:sz w:val="20"/>
                      <w:szCs w:val="20"/>
                      <w:u w:val="none"/>
                    </w:rPr>
                  </w:pPr>
                </w:p>
              </w:tc>
            </w:tr>
            <w:tr w14:paraId="1995F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47" w:type="pct"/>
                  <w:vMerge w:val="continue"/>
                  <w:tcBorders>
                    <w:top w:val="single" w:color="000000" w:sz="4" w:space="0"/>
                    <w:left w:val="single" w:color="000000" w:sz="4" w:space="0"/>
                    <w:bottom w:val="nil"/>
                    <w:right w:val="single" w:color="000000" w:sz="4" w:space="0"/>
                  </w:tcBorders>
                  <w:shd w:val="clear" w:color="auto" w:fill="auto"/>
                  <w:vAlign w:val="center"/>
                </w:tcPr>
                <w:p w14:paraId="38E5D041">
                  <w:pPr>
                    <w:jc w:val="center"/>
                    <w:rPr>
                      <w:rFonts w:hint="eastAsia" w:ascii="宋体" w:hAnsi="宋体" w:eastAsia="宋体" w:cs="宋体"/>
                      <w:i w:val="0"/>
                      <w:iCs w:val="0"/>
                      <w:color w:val="000000"/>
                      <w:sz w:val="21"/>
                      <w:szCs w:val="21"/>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0817C">
                  <w:pPr>
                    <w:jc w:val="center"/>
                    <w:rPr>
                      <w:rFonts w:hint="eastAsia" w:ascii="宋体" w:hAnsi="宋体" w:eastAsia="宋体" w:cs="宋体"/>
                      <w:i w:val="0"/>
                      <w:iCs w:val="0"/>
                      <w:color w:val="000000"/>
                      <w:sz w:val="21"/>
                      <w:szCs w:val="21"/>
                      <w:u w:val="none"/>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8A77C">
                  <w:pPr>
                    <w:jc w:val="center"/>
                    <w:rPr>
                      <w:rFonts w:hint="eastAsia" w:ascii="宋体" w:hAnsi="宋体" w:eastAsia="宋体" w:cs="宋体"/>
                      <w:i w:val="0"/>
                      <w:iCs w:val="0"/>
                      <w:color w:val="000000"/>
                      <w:sz w:val="24"/>
                      <w:szCs w:val="24"/>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617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939" w:type="pct"/>
                  <w:tcBorders>
                    <w:top w:val="nil"/>
                    <w:left w:val="single" w:color="000000" w:sz="8" w:space="0"/>
                    <w:bottom w:val="single" w:color="000000" w:sz="8" w:space="0"/>
                    <w:right w:val="single" w:color="000000" w:sz="8" w:space="0"/>
                  </w:tcBorders>
                  <w:shd w:val="clear" w:color="auto" w:fill="auto"/>
                  <w:vAlign w:val="center"/>
                </w:tcPr>
                <w:p w14:paraId="7AE970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椅背及椅座整体弧度及曲线符合人体工程学设计，强度高，经久耐用，坐感舒适安全。</w:t>
                  </w: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74735">
                  <w:pPr>
                    <w:jc w:val="center"/>
                    <w:rPr>
                      <w:rFonts w:hint="eastAsia" w:ascii="宋体" w:hAnsi="宋体" w:eastAsia="宋体" w:cs="宋体"/>
                      <w:i w:val="0"/>
                      <w:iCs w:val="0"/>
                      <w:color w:val="000000"/>
                      <w:sz w:val="20"/>
                      <w:szCs w:val="20"/>
                      <w:u w:val="none"/>
                    </w:rPr>
                  </w:pPr>
                </w:p>
              </w:tc>
            </w:tr>
            <w:tr w14:paraId="32516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47" w:type="pct"/>
                  <w:vMerge w:val="continue"/>
                  <w:tcBorders>
                    <w:top w:val="single" w:color="000000" w:sz="4" w:space="0"/>
                    <w:left w:val="single" w:color="000000" w:sz="4" w:space="0"/>
                    <w:bottom w:val="nil"/>
                    <w:right w:val="single" w:color="000000" w:sz="4" w:space="0"/>
                  </w:tcBorders>
                  <w:shd w:val="clear" w:color="auto" w:fill="auto"/>
                  <w:vAlign w:val="center"/>
                </w:tcPr>
                <w:p w14:paraId="100F48E9">
                  <w:pPr>
                    <w:jc w:val="center"/>
                    <w:rPr>
                      <w:rFonts w:hint="eastAsia" w:ascii="宋体" w:hAnsi="宋体" w:eastAsia="宋体" w:cs="宋体"/>
                      <w:i w:val="0"/>
                      <w:iCs w:val="0"/>
                      <w:color w:val="000000"/>
                      <w:sz w:val="21"/>
                      <w:szCs w:val="21"/>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25C63">
                  <w:pPr>
                    <w:jc w:val="center"/>
                    <w:rPr>
                      <w:rFonts w:hint="eastAsia" w:ascii="宋体" w:hAnsi="宋体" w:eastAsia="宋体" w:cs="宋体"/>
                      <w:i w:val="0"/>
                      <w:iCs w:val="0"/>
                      <w:color w:val="000000"/>
                      <w:sz w:val="21"/>
                      <w:szCs w:val="21"/>
                      <w:u w:val="none"/>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7ED0B">
                  <w:pPr>
                    <w:jc w:val="center"/>
                    <w:rPr>
                      <w:rFonts w:hint="eastAsia" w:ascii="宋体" w:hAnsi="宋体" w:eastAsia="宋体" w:cs="宋体"/>
                      <w:i w:val="0"/>
                      <w:iCs w:val="0"/>
                      <w:color w:val="000000"/>
                      <w:sz w:val="24"/>
                      <w:szCs w:val="24"/>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E05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939" w:type="pct"/>
                  <w:tcBorders>
                    <w:top w:val="nil"/>
                    <w:left w:val="single" w:color="000000" w:sz="8" w:space="0"/>
                    <w:bottom w:val="single" w:color="000000" w:sz="8" w:space="0"/>
                    <w:right w:val="single" w:color="000000" w:sz="8" w:space="0"/>
                  </w:tcBorders>
                  <w:shd w:val="clear" w:color="auto" w:fill="auto"/>
                  <w:vAlign w:val="center"/>
                </w:tcPr>
                <w:p w14:paraId="15104B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椅背与站脚边框连接方式：椅背边框直接插入站脚内腔18mm（±2mm）且紧固；</w:t>
                  </w: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1B786">
                  <w:pPr>
                    <w:jc w:val="center"/>
                    <w:rPr>
                      <w:rFonts w:hint="eastAsia" w:ascii="宋体" w:hAnsi="宋体" w:eastAsia="宋体" w:cs="宋体"/>
                      <w:i w:val="0"/>
                      <w:iCs w:val="0"/>
                      <w:color w:val="000000"/>
                      <w:sz w:val="20"/>
                      <w:szCs w:val="20"/>
                      <w:u w:val="none"/>
                    </w:rPr>
                  </w:pPr>
                </w:p>
              </w:tc>
            </w:tr>
            <w:tr w14:paraId="76E04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47" w:type="pct"/>
                  <w:vMerge w:val="continue"/>
                  <w:tcBorders>
                    <w:top w:val="single" w:color="000000" w:sz="4" w:space="0"/>
                    <w:left w:val="single" w:color="000000" w:sz="4" w:space="0"/>
                    <w:bottom w:val="nil"/>
                    <w:right w:val="single" w:color="000000" w:sz="4" w:space="0"/>
                  </w:tcBorders>
                  <w:shd w:val="clear" w:color="auto" w:fill="auto"/>
                  <w:vAlign w:val="center"/>
                </w:tcPr>
                <w:p w14:paraId="6896A110">
                  <w:pPr>
                    <w:jc w:val="center"/>
                    <w:rPr>
                      <w:rFonts w:hint="eastAsia" w:ascii="宋体" w:hAnsi="宋体" w:eastAsia="宋体" w:cs="宋体"/>
                      <w:i w:val="0"/>
                      <w:iCs w:val="0"/>
                      <w:color w:val="000000"/>
                      <w:sz w:val="21"/>
                      <w:szCs w:val="21"/>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5824D">
                  <w:pPr>
                    <w:jc w:val="center"/>
                    <w:rPr>
                      <w:rFonts w:hint="eastAsia" w:ascii="宋体" w:hAnsi="宋体" w:eastAsia="宋体" w:cs="宋体"/>
                      <w:i w:val="0"/>
                      <w:iCs w:val="0"/>
                      <w:color w:val="000000"/>
                      <w:sz w:val="21"/>
                      <w:szCs w:val="21"/>
                      <w:u w:val="none"/>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816DA">
                  <w:pPr>
                    <w:jc w:val="center"/>
                    <w:rPr>
                      <w:rFonts w:hint="eastAsia" w:ascii="宋体" w:hAnsi="宋体" w:eastAsia="宋体" w:cs="宋体"/>
                      <w:i w:val="0"/>
                      <w:iCs w:val="0"/>
                      <w:color w:val="000000"/>
                      <w:sz w:val="24"/>
                      <w:szCs w:val="24"/>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969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939" w:type="pct"/>
                  <w:tcBorders>
                    <w:top w:val="nil"/>
                    <w:left w:val="single" w:color="000000" w:sz="8" w:space="0"/>
                    <w:bottom w:val="single" w:color="000000" w:sz="8" w:space="0"/>
                    <w:right w:val="single" w:color="000000" w:sz="8" w:space="0"/>
                  </w:tcBorders>
                  <w:shd w:val="clear" w:color="auto" w:fill="auto"/>
                  <w:vAlign w:val="center"/>
                </w:tcPr>
                <w:p w14:paraId="0DD1A7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写字板高度：约750mm。</w:t>
                  </w: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BE315">
                  <w:pPr>
                    <w:jc w:val="center"/>
                    <w:rPr>
                      <w:rFonts w:hint="eastAsia" w:ascii="宋体" w:hAnsi="宋体" w:eastAsia="宋体" w:cs="宋体"/>
                      <w:i w:val="0"/>
                      <w:iCs w:val="0"/>
                      <w:color w:val="000000"/>
                      <w:sz w:val="20"/>
                      <w:szCs w:val="20"/>
                      <w:u w:val="none"/>
                    </w:rPr>
                  </w:pPr>
                </w:p>
              </w:tc>
            </w:tr>
            <w:tr w14:paraId="5E6EE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47" w:type="pct"/>
                  <w:vMerge w:val="continue"/>
                  <w:tcBorders>
                    <w:top w:val="single" w:color="000000" w:sz="4" w:space="0"/>
                    <w:left w:val="single" w:color="000000" w:sz="4" w:space="0"/>
                    <w:bottom w:val="nil"/>
                    <w:right w:val="single" w:color="000000" w:sz="4" w:space="0"/>
                  </w:tcBorders>
                  <w:shd w:val="clear" w:color="auto" w:fill="auto"/>
                  <w:vAlign w:val="center"/>
                </w:tcPr>
                <w:p w14:paraId="7C627A8E">
                  <w:pPr>
                    <w:jc w:val="center"/>
                    <w:rPr>
                      <w:rFonts w:hint="eastAsia" w:ascii="宋体" w:hAnsi="宋体" w:eastAsia="宋体" w:cs="宋体"/>
                      <w:i w:val="0"/>
                      <w:iCs w:val="0"/>
                      <w:color w:val="000000"/>
                      <w:sz w:val="21"/>
                      <w:szCs w:val="21"/>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4EC45">
                  <w:pPr>
                    <w:jc w:val="center"/>
                    <w:rPr>
                      <w:rFonts w:hint="eastAsia" w:ascii="宋体" w:hAnsi="宋体" w:eastAsia="宋体" w:cs="宋体"/>
                      <w:i w:val="0"/>
                      <w:iCs w:val="0"/>
                      <w:color w:val="000000"/>
                      <w:sz w:val="21"/>
                      <w:szCs w:val="21"/>
                      <w:u w:val="none"/>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82B49">
                  <w:pPr>
                    <w:jc w:val="center"/>
                    <w:rPr>
                      <w:rFonts w:hint="eastAsia" w:ascii="宋体" w:hAnsi="宋体" w:eastAsia="宋体" w:cs="宋体"/>
                      <w:i w:val="0"/>
                      <w:iCs w:val="0"/>
                      <w:color w:val="000000"/>
                      <w:sz w:val="24"/>
                      <w:szCs w:val="24"/>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A55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939" w:type="pct"/>
                  <w:tcBorders>
                    <w:top w:val="nil"/>
                    <w:left w:val="single" w:color="000000" w:sz="8" w:space="0"/>
                    <w:bottom w:val="single" w:color="000000" w:sz="8" w:space="0"/>
                    <w:right w:val="single" w:color="000000" w:sz="8" w:space="0"/>
                  </w:tcBorders>
                  <w:shd w:val="clear" w:color="auto" w:fill="auto"/>
                  <w:vAlign w:val="center"/>
                </w:tcPr>
                <w:p w14:paraId="2828E3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▲写字板：上下两层结构，采用橡胶木指接板。</w:t>
                  </w: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DCA2A">
                  <w:pPr>
                    <w:jc w:val="center"/>
                    <w:rPr>
                      <w:rFonts w:hint="eastAsia" w:ascii="宋体" w:hAnsi="宋体" w:eastAsia="宋体" w:cs="宋体"/>
                      <w:i w:val="0"/>
                      <w:iCs w:val="0"/>
                      <w:color w:val="000000"/>
                      <w:sz w:val="20"/>
                      <w:szCs w:val="20"/>
                      <w:u w:val="none"/>
                    </w:rPr>
                  </w:pPr>
                </w:p>
              </w:tc>
            </w:tr>
            <w:tr w14:paraId="0A8DB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47" w:type="pct"/>
                  <w:vMerge w:val="continue"/>
                  <w:tcBorders>
                    <w:top w:val="single" w:color="000000" w:sz="4" w:space="0"/>
                    <w:left w:val="single" w:color="000000" w:sz="4" w:space="0"/>
                    <w:bottom w:val="nil"/>
                    <w:right w:val="single" w:color="000000" w:sz="4" w:space="0"/>
                  </w:tcBorders>
                  <w:shd w:val="clear" w:color="auto" w:fill="auto"/>
                  <w:vAlign w:val="center"/>
                </w:tcPr>
                <w:p w14:paraId="241B4569">
                  <w:pPr>
                    <w:jc w:val="center"/>
                    <w:rPr>
                      <w:rFonts w:hint="eastAsia" w:ascii="宋体" w:hAnsi="宋体" w:eastAsia="宋体" w:cs="宋体"/>
                      <w:i w:val="0"/>
                      <w:iCs w:val="0"/>
                      <w:color w:val="000000"/>
                      <w:sz w:val="21"/>
                      <w:szCs w:val="21"/>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B0986">
                  <w:pPr>
                    <w:jc w:val="center"/>
                    <w:rPr>
                      <w:rFonts w:hint="eastAsia" w:ascii="宋体" w:hAnsi="宋体" w:eastAsia="宋体" w:cs="宋体"/>
                      <w:i w:val="0"/>
                      <w:iCs w:val="0"/>
                      <w:color w:val="000000"/>
                      <w:sz w:val="21"/>
                      <w:szCs w:val="21"/>
                      <w:u w:val="none"/>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F3FD7">
                  <w:pPr>
                    <w:jc w:val="center"/>
                    <w:rPr>
                      <w:rFonts w:hint="eastAsia" w:ascii="宋体" w:hAnsi="宋体" w:eastAsia="宋体" w:cs="宋体"/>
                      <w:i w:val="0"/>
                      <w:iCs w:val="0"/>
                      <w:color w:val="000000"/>
                      <w:sz w:val="24"/>
                      <w:szCs w:val="24"/>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A3B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939" w:type="pct"/>
                  <w:tcBorders>
                    <w:top w:val="nil"/>
                    <w:left w:val="single" w:color="000000" w:sz="8" w:space="0"/>
                    <w:bottom w:val="single" w:color="000000" w:sz="8" w:space="0"/>
                    <w:right w:val="single" w:color="000000" w:sz="8" w:space="0"/>
                  </w:tcBorders>
                  <w:shd w:val="clear" w:color="auto" w:fill="auto"/>
                  <w:vAlign w:val="center"/>
                </w:tcPr>
                <w:p w14:paraId="1CC67C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写字板：上层板材深约320mm、厚约25mm，下层板材深约270mm、厚度约17mm，内高约140mm。</w:t>
                  </w: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29613">
                  <w:pPr>
                    <w:jc w:val="center"/>
                    <w:rPr>
                      <w:rFonts w:hint="eastAsia" w:ascii="宋体" w:hAnsi="宋体" w:eastAsia="宋体" w:cs="宋体"/>
                      <w:i w:val="0"/>
                      <w:iCs w:val="0"/>
                      <w:color w:val="000000"/>
                      <w:sz w:val="20"/>
                      <w:szCs w:val="20"/>
                      <w:u w:val="none"/>
                    </w:rPr>
                  </w:pPr>
                </w:p>
              </w:tc>
            </w:tr>
            <w:tr w14:paraId="3F213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47" w:type="pct"/>
                  <w:vMerge w:val="continue"/>
                  <w:tcBorders>
                    <w:top w:val="single" w:color="000000" w:sz="4" w:space="0"/>
                    <w:left w:val="single" w:color="000000" w:sz="4" w:space="0"/>
                    <w:bottom w:val="nil"/>
                    <w:right w:val="single" w:color="000000" w:sz="4" w:space="0"/>
                  </w:tcBorders>
                  <w:shd w:val="clear" w:color="auto" w:fill="auto"/>
                  <w:vAlign w:val="center"/>
                </w:tcPr>
                <w:p w14:paraId="3DB6EEDA">
                  <w:pPr>
                    <w:jc w:val="center"/>
                    <w:rPr>
                      <w:rFonts w:hint="eastAsia" w:ascii="宋体" w:hAnsi="宋体" w:eastAsia="宋体" w:cs="宋体"/>
                      <w:i w:val="0"/>
                      <w:iCs w:val="0"/>
                      <w:color w:val="000000"/>
                      <w:sz w:val="21"/>
                      <w:szCs w:val="21"/>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8705E">
                  <w:pPr>
                    <w:jc w:val="center"/>
                    <w:rPr>
                      <w:rFonts w:hint="eastAsia" w:ascii="宋体" w:hAnsi="宋体" w:eastAsia="宋体" w:cs="宋体"/>
                      <w:i w:val="0"/>
                      <w:iCs w:val="0"/>
                      <w:color w:val="000000"/>
                      <w:sz w:val="21"/>
                      <w:szCs w:val="21"/>
                      <w:u w:val="none"/>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FE72E">
                  <w:pPr>
                    <w:jc w:val="center"/>
                    <w:rPr>
                      <w:rFonts w:hint="eastAsia" w:ascii="宋体" w:hAnsi="宋体" w:eastAsia="宋体" w:cs="宋体"/>
                      <w:i w:val="0"/>
                      <w:iCs w:val="0"/>
                      <w:color w:val="000000"/>
                      <w:sz w:val="24"/>
                      <w:szCs w:val="24"/>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776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939" w:type="pct"/>
                  <w:tcBorders>
                    <w:top w:val="nil"/>
                    <w:left w:val="single" w:color="000000" w:sz="8" w:space="0"/>
                    <w:bottom w:val="single" w:color="000000" w:sz="8" w:space="0"/>
                    <w:right w:val="single" w:color="000000" w:sz="8" w:space="0"/>
                  </w:tcBorders>
                  <w:shd w:val="clear" w:color="auto" w:fill="auto"/>
                  <w:vAlign w:val="center"/>
                </w:tcPr>
                <w:p w14:paraId="3155A9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写字板：整体结构牢固，过道两边、前端边角要倒R12.5圆角。</w:t>
                  </w: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E98C0">
                  <w:pPr>
                    <w:jc w:val="center"/>
                    <w:rPr>
                      <w:rFonts w:hint="eastAsia" w:ascii="宋体" w:hAnsi="宋体" w:eastAsia="宋体" w:cs="宋体"/>
                      <w:i w:val="0"/>
                      <w:iCs w:val="0"/>
                      <w:color w:val="000000"/>
                      <w:sz w:val="20"/>
                      <w:szCs w:val="20"/>
                      <w:u w:val="none"/>
                    </w:rPr>
                  </w:pPr>
                </w:p>
              </w:tc>
            </w:tr>
            <w:tr w14:paraId="7BE8D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47" w:type="pct"/>
                  <w:vMerge w:val="continue"/>
                  <w:tcBorders>
                    <w:top w:val="single" w:color="000000" w:sz="4" w:space="0"/>
                    <w:left w:val="single" w:color="000000" w:sz="4" w:space="0"/>
                    <w:bottom w:val="nil"/>
                    <w:right w:val="single" w:color="000000" w:sz="4" w:space="0"/>
                  </w:tcBorders>
                  <w:shd w:val="clear" w:color="auto" w:fill="auto"/>
                  <w:vAlign w:val="center"/>
                </w:tcPr>
                <w:p w14:paraId="6A228746">
                  <w:pPr>
                    <w:jc w:val="center"/>
                    <w:rPr>
                      <w:rFonts w:hint="eastAsia" w:ascii="宋体" w:hAnsi="宋体" w:eastAsia="宋体" w:cs="宋体"/>
                      <w:i w:val="0"/>
                      <w:iCs w:val="0"/>
                      <w:color w:val="000000"/>
                      <w:sz w:val="21"/>
                      <w:szCs w:val="21"/>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9BBFB">
                  <w:pPr>
                    <w:jc w:val="center"/>
                    <w:rPr>
                      <w:rFonts w:hint="eastAsia" w:ascii="宋体" w:hAnsi="宋体" w:eastAsia="宋体" w:cs="宋体"/>
                      <w:i w:val="0"/>
                      <w:iCs w:val="0"/>
                      <w:color w:val="000000"/>
                      <w:sz w:val="21"/>
                      <w:szCs w:val="21"/>
                      <w:u w:val="none"/>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E9848">
                  <w:pPr>
                    <w:jc w:val="center"/>
                    <w:rPr>
                      <w:rFonts w:hint="eastAsia" w:ascii="宋体" w:hAnsi="宋体" w:eastAsia="宋体" w:cs="宋体"/>
                      <w:i w:val="0"/>
                      <w:iCs w:val="0"/>
                      <w:color w:val="000000"/>
                      <w:sz w:val="24"/>
                      <w:szCs w:val="24"/>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BB2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939" w:type="pct"/>
                  <w:tcBorders>
                    <w:top w:val="nil"/>
                    <w:left w:val="single" w:color="000000" w:sz="8" w:space="0"/>
                    <w:bottom w:val="single" w:color="000000" w:sz="8" w:space="0"/>
                    <w:right w:val="single" w:color="000000" w:sz="8" w:space="0"/>
                  </w:tcBorders>
                  <w:shd w:val="clear" w:color="auto" w:fill="auto"/>
                  <w:vAlign w:val="center"/>
                </w:tcPr>
                <w:p w14:paraId="1EB1E3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所有</w:t>
                  </w:r>
                  <w:r>
                    <w:rPr>
                      <w:rFonts w:hint="eastAsia" w:ascii="宋体" w:hAnsi="宋体" w:cs="宋体"/>
                      <w:i w:val="0"/>
                      <w:iCs w:val="0"/>
                      <w:color w:val="000000"/>
                      <w:kern w:val="0"/>
                      <w:sz w:val="21"/>
                      <w:szCs w:val="21"/>
                      <w:u w:val="none"/>
                      <w:lang w:val="en-US" w:eastAsia="zh-CN" w:bidi="ar"/>
                    </w:rPr>
                    <w:t>实</w:t>
                  </w:r>
                  <w:r>
                    <w:rPr>
                      <w:rFonts w:hint="eastAsia" w:ascii="宋体" w:hAnsi="宋体" w:eastAsia="宋体" w:cs="宋体"/>
                      <w:i w:val="0"/>
                      <w:iCs w:val="0"/>
                      <w:color w:val="000000"/>
                      <w:kern w:val="0"/>
                      <w:sz w:val="21"/>
                      <w:szCs w:val="21"/>
                      <w:u w:val="none"/>
                      <w:lang w:val="en-US" w:eastAsia="zh-CN" w:bidi="ar"/>
                    </w:rPr>
                    <w:t>木板的表面处理喷樱桃色环保油漆。</w:t>
                  </w: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2727A">
                  <w:pPr>
                    <w:jc w:val="center"/>
                    <w:rPr>
                      <w:rFonts w:hint="eastAsia" w:ascii="宋体" w:hAnsi="宋体" w:eastAsia="宋体" w:cs="宋体"/>
                      <w:i w:val="0"/>
                      <w:iCs w:val="0"/>
                      <w:color w:val="000000"/>
                      <w:sz w:val="20"/>
                      <w:szCs w:val="20"/>
                      <w:u w:val="none"/>
                    </w:rPr>
                  </w:pPr>
                </w:p>
              </w:tc>
            </w:tr>
            <w:tr w14:paraId="7C2EE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47" w:type="pct"/>
                  <w:vMerge w:val="continue"/>
                  <w:tcBorders>
                    <w:top w:val="single" w:color="000000" w:sz="4" w:space="0"/>
                    <w:left w:val="single" w:color="000000" w:sz="4" w:space="0"/>
                    <w:bottom w:val="nil"/>
                    <w:right w:val="single" w:color="000000" w:sz="4" w:space="0"/>
                  </w:tcBorders>
                  <w:shd w:val="clear" w:color="auto" w:fill="auto"/>
                  <w:vAlign w:val="center"/>
                </w:tcPr>
                <w:p w14:paraId="5B11BB8C">
                  <w:pPr>
                    <w:jc w:val="center"/>
                    <w:rPr>
                      <w:rFonts w:hint="eastAsia" w:ascii="宋体" w:hAnsi="宋体" w:eastAsia="宋体" w:cs="宋体"/>
                      <w:i w:val="0"/>
                      <w:iCs w:val="0"/>
                      <w:color w:val="000000"/>
                      <w:sz w:val="21"/>
                      <w:szCs w:val="21"/>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FEED9">
                  <w:pPr>
                    <w:jc w:val="center"/>
                    <w:rPr>
                      <w:rFonts w:hint="eastAsia" w:ascii="宋体" w:hAnsi="宋体" w:eastAsia="宋体" w:cs="宋体"/>
                      <w:i w:val="0"/>
                      <w:iCs w:val="0"/>
                      <w:color w:val="000000"/>
                      <w:sz w:val="21"/>
                      <w:szCs w:val="21"/>
                      <w:u w:val="none"/>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7B173">
                  <w:pPr>
                    <w:jc w:val="center"/>
                    <w:rPr>
                      <w:rFonts w:hint="eastAsia" w:ascii="宋体" w:hAnsi="宋体" w:eastAsia="宋体" w:cs="宋体"/>
                      <w:i w:val="0"/>
                      <w:iCs w:val="0"/>
                      <w:color w:val="000000"/>
                      <w:sz w:val="24"/>
                      <w:szCs w:val="24"/>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F8F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939" w:type="pct"/>
                  <w:tcBorders>
                    <w:top w:val="nil"/>
                    <w:left w:val="single" w:color="000000" w:sz="8" w:space="0"/>
                    <w:bottom w:val="single" w:color="000000" w:sz="8" w:space="0"/>
                    <w:right w:val="single" w:color="000000" w:sz="8" w:space="0"/>
                  </w:tcBorders>
                  <w:shd w:val="clear" w:color="auto" w:fill="auto"/>
                  <w:vAlign w:val="center"/>
                </w:tcPr>
                <w:p w14:paraId="72CB86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▲站脚扶手盖：站脚扶手上方装橡胶木实木扶手套，用螺丝固定。</w:t>
                  </w: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321C2">
                  <w:pPr>
                    <w:jc w:val="center"/>
                    <w:rPr>
                      <w:rFonts w:hint="eastAsia" w:ascii="宋体" w:hAnsi="宋体" w:eastAsia="宋体" w:cs="宋体"/>
                      <w:i w:val="0"/>
                      <w:iCs w:val="0"/>
                      <w:color w:val="000000"/>
                      <w:sz w:val="20"/>
                      <w:szCs w:val="20"/>
                      <w:u w:val="none"/>
                    </w:rPr>
                  </w:pPr>
                </w:p>
              </w:tc>
            </w:tr>
            <w:tr w14:paraId="6539B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47" w:type="pct"/>
                  <w:vMerge w:val="continue"/>
                  <w:tcBorders>
                    <w:top w:val="single" w:color="000000" w:sz="4" w:space="0"/>
                    <w:left w:val="single" w:color="000000" w:sz="4" w:space="0"/>
                    <w:bottom w:val="nil"/>
                    <w:right w:val="single" w:color="000000" w:sz="4" w:space="0"/>
                  </w:tcBorders>
                  <w:shd w:val="clear" w:color="auto" w:fill="auto"/>
                  <w:vAlign w:val="center"/>
                </w:tcPr>
                <w:p w14:paraId="27666F72">
                  <w:pPr>
                    <w:jc w:val="center"/>
                    <w:rPr>
                      <w:rFonts w:hint="eastAsia" w:ascii="宋体" w:hAnsi="宋体" w:eastAsia="宋体" w:cs="宋体"/>
                      <w:i w:val="0"/>
                      <w:iCs w:val="0"/>
                      <w:color w:val="000000"/>
                      <w:sz w:val="21"/>
                      <w:szCs w:val="21"/>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BA8F6">
                  <w:pPr>
                    <w:jc w:val="center"/>
                    <w:rPr>
                      <w:rFonts w:hint="eastAsia" w:ascii="宋体" w:hAnsi="宋体" w:eastAsia="宋体" w:cs="宋体"/>
                      <w:i w:val="0"/>
                      <w:iCs w:val="0"/>
                      <w:color w:val="000000"/>
                      <w:sz w:val="21"/>
                      <w:szCs w:val="21"/>
                      <w:u w:val="none"/>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5B89E">
                  <w:pPr>
                    <w:jc w:val="center"/>
                    <w:rPr>
                      <w:rFonts w:hint="eastAsia" w:ascii="宋体" w:hAnsi="宋体" w:eastAsia="宋体" w:cs="宋体"/>
                      <w:i w:val="0"/>
                      <w:iCs w:val="0"/>
                      <w:color w:val="000000"/>
                      <w:sz w:val="24"/>
                      <w:szCs w:val="24"/>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714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939" w:type="pct"/>
                  <w:tcBorders>
                    <w:top w:val="nil"/>
                    <w:left w:val="single" w:color="000000" w:sz="8" w:space="0"/>
                    <w:bottom w:val="single" w:color="000000" w:sz="8" w:space="0"/>
                    <w:right w:val="single" w:color="000000" w:sz="8" w:space="0"/>
                  </w:tcBorders>
                  <w:shd w:val="clear" w:color="auto" w:fill="auto"/>
                  <w:vAlign w:val="center"/>
                </w:tcPr>
                <w:p w14:paraId="5BEE53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站脚扶手盖：实木扶手套长≥270mm，宽50～55mm、厚约25mm。</w:t>
                  </w: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67A43">
                  <w:pPr>
                    <w:jc w:val="center"/>
                    <w:rPr>
                      <w:rFonts w:hint="eastAsia" w:ascii="宋体" w:hAnsi="宋体" w:eastAsia="宋体" w:cs="宋体"/>
                      <w:i w:val="0"/>
                      <w:iCs w:val="0"/>
                      <w:color w:val="000000"/>
                      <w:sz w:val="20"/>
                      <w:szCs w:val="20"/>
                      <w:u w:val="none"/>
                    </w:rPr>
                  </w:pPr>
                </w:p>
              </w:tc>
            </w:tr>
            <w:tr w14:paraId="14BA7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47" w:type="pct"/>
                  <w:vMerge w:val="continue"/>
                  <w:tcBorders>
                    <w:top w:val="single" w:color="000000" w:sz="4" w:space="0"/>
                    <w:left w:val="single" w:color="000000" w:sz="4" w:space="0"/>
                    <w:bottom w:val="nil"/>
                    <w:right w:val="single" w:color="000000" w:sz="4" w:space="0"/>
                  </w:tcBorders>
                  <w:shd w:val="clear" w:color="auto" w:fill="auto"/>
                  <w:vAlign w:val="center"/>
                </w:tcPr>
                <w:p w14:paraId="0F4FAD30">
                  <w:pPr>
                    <w:jc w:val="center"/>
                    <w:rPr>
                      <w:rFonts w:hint="eastAsia" w:ascii="宋体" w:hAnsi="宋体" w:eastAsia="宋体" w:cs="宋体"/>
                      <w:i w:val="0"/>
                      <w:iCs w:val="0"/>
                      <w:color w:val="000000"/>
                      <w:sz w:val="21"/>
                      <w:szCs w:val="21"/>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746B1">
                  <w:pPr>
                    <w:jc w:val="center"/>
                    <w:rPr>
                      <w:rFonts w:hint="eastAsia" w:ascii="宋体" w:hAnsi="宋体" w:eastAsia="宋体" w:cs="宋体"/>
                      <w:i w:val="0"/>
                      <w:iCs w:val="0"/>
                      <w:color w:val="000000"/>
                      <w:sz w:val="21"/>
                      <w:szCs w:val="21"/>
                      <w:u w:val="none"/>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D6356">
                  <w:pPr>
                    <w:jc w:val="center"/>
                    <w:rPr>
                      <w:rFonts w:hint="eastAsia" w:ascii="宋体" w:hAnsi="宋体" w:eastAsia="宋体" w:cs="宋体"/>
                      <w:i w:val="0"/>
                      <w:iCs w:val="0"/>
                      <w:color w:val="000000"/>
                      <w:sz w:val="24"/>
                      <w:szCs w:val="24"/>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AD5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939" w:type="pct"/>
                  <w:tcBorders>
                    <w:top w:val="nil"/>
                    <w:left w:val="single" w:color="000000" w:sz="8" w:space="0"/>
                    <w:bottom w:val="single" w:color="000000" w:sz="8" w:space="0"/>
                    <w:right w:val="single" w:color="000000" w:sz="8" w:space="0"/>
                  </w:tcBorders>
                  <w:shd w:val="clear" w:color="auto" w:fill="auto"/>
                  <w:vAlign w:val="center"/>
                </w:tcPr>
                <w:p w14:paraId="2E0F16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两扶手之间净空（使用空间）≥460mm。</w:t>
                  </w: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571AD">
                  <w:pPr>
                    <w:jc w:val="center"/>
                    <w:rPr>
                      <w:rFonts w:hint="eastAsia" w:ascii="宋体" w:hAnsi="宋体" w:eastAsia="宋体" w:cs="宋体"/>
                      <w:i w:val="0"/>
                      <w:iCs w:val="0"/>
                      <w:color w:val="000000"/>
                      <w:sz w:val="20"/>
                      <w:szCs w:val="20"/>
                      <w:u w:val="none"/>
                    </w:rPr>
                  </w:pPr>
                </w:p>
              </w:tc>
            </w:tr>
            <w:tr w14:paraId="71743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47" w:type="pct"/>
                  <w:vMerge w:val="continue"/>
                  <w:tcBorders>
                    <w:top w:val="single" w:color="000000" w:sz="4" w:space="0"/>
                    <w:left w:val="single" w:color="000000" w:sz="4" w:space="0"/>
                    <w:bottom w:val="nil"/>
                    <w:right w:val="single" w:color="000000" w:sz="4" w:space="0"/>
                  </w:tcBorders>
                  <w:shd w:val="clear" w:color="auto" w:fill="auto"/>
                  <w:vAlign w:val="center"/>
                </w:tcPr>
                <w:p w14:paraId="02F1D227">
                  <w:pPr>
                    <w:jc w:val="center"/>
                    <w:rPr>
                      <w:rFonts w:hint="eastAsia" w:ascii="宋体" w:hAnsi="宋体" w:eastAsia="宋体" w:cs="宋体"/>
                      <w:i w:val="0"/>
                      <w:iCs w:val="0"/>
                      <w:color w:val="000000"/>
                      <w:sz w:val="21"/>
                      <w:szCs w:val="21"/>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67F95">
                  <w:pPr>
                    <w:jc w:val="center"/>
                    <w:rPr>
                      <w:rFonts w:hint="eastAsia" w:ascii="宋体" w:hAnsi="宋体" w:eastAsia="宋体" w:cs="宋体"/>
                      <w:i w:val="0"/>
                      <w:iCs w:val="0"/>
                      <w:color w:val="000000"/>
                      <w:sz w:val="21"/>
                      <w:szCs w:val="21"/>
                      <w:u w:val="none"/>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F2050">
                  <w:pPr>
                    <w:jc w:val="center"/>
                    <w:rPr>
                      <w:rFonts w:hint="eastAsia" w:ascii="宋体" w:hAnsi="宋体" w:eastAsia="宋体" w:cs="宋体"/>
                      <w:i w:val="0"/>
                      <w:iCs w:val="0"/>
                      <w:color w:val="000000"/>
                      <w:sz w:val="24"/>
                      <w:szCs w:val="24"/>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9A6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939" w:type="pct"/>
                  <w:tcBorders>
                    <w:top w:val="nil"/>
                    <w:left w:val="single" w:color="000000" w:sz="8" w:space="0"/>
                    <w:bottom w:val="single" w:color="000000" w:sz="8" w:space="0"/>
                    <w:right w:val="single" w:color="000000" w:sz="8" w:space="0"/>
                  </w:tcBorders>
                  <w:shd w:val="clear" w:color="auto" w:fill="auto"/>
                  <w:vAlign w:val="center"/>
                </w:tcPr>
                <w:p w14:paraId="6E82F7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8"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8120" cy="5715"/>
                        <wp:effectExtent l="0" t="0" r="0" b="0"/>
                        <wp:wrapNone/>
                        <wp:docPr id="12" name="图片_6"/>
                        <wp:cNvGraphicFramePr/>
                        <a:graphic xmlns:a="http://schemas.openxmlformats.org/drawingml/2006/main">
                          <a:graphicData uri="http://schemas.openxmlformats.org/drawingml/2006/picture">
                            <pic:pic xmlns:pic="http://schemas.openxmlformats.org/drawingml/2006/picture">
                              <pic:nvPicPr>
                                <pic:cNvPr id="12" name="图片_6"/>
                                <pic:cNvPicPr/>
                              </pic:nvPicPr>
                              <pic:blipFill>
                                <a:blip r:embed="rId7"/>
                                <a:stretch>
                                  <a:fillRect/>
                                </a:stretch>
                              </pic:blipFill>
                              <pic:spPr>
                                <a:xfrm>
                                  <a:off x="0" y="0"/>
                                  <a:ext cx="198120" cy="5715"/>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8"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82880" cy="5715"/>
                        <wp:effectExtent l="0" t="0" r="0" b="0"/>
                        <wp:wrapNone/>
                        <wp:docPr id="9" name="图片_7"/>
                        <wp:cNvGraphicFramePr/>
                        <a:graphic xmlns:a="http://schemas.openxmlformats.org/drawingml/2006/main">
                          <a:graphicData uri="http://schemas.openxmlformats.org/drawingml/2006/picture">
                            <pic:pic xmlns:pic="http://schemas.openxmlformats.org/drawingml/2006/picture">
                              <pic:nvPicPr>
                                <pic:cNvPr id="9" name="图片_7"/>
                                <pic:cNvPicPr/>
                              </pic:nvPicPr>
                              <pic:blipFill>
                                <a:blip r:embed="rId8"/>
                                <a:stretch>
                                  <a:fillRect/>
                                </a:stretch>
                              </pic:blipFill>
                              <pic:spPr>
                                <a:xfrm>
                                  <a:off x="0" y="0"/>
                                  <a:ext cx="182880" cy="5715"/>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8" w:space="0"/>
                      <w:lang w:val="en-US" w:eastAsia="zh-CN" w:bidi="ar"/>
                    </w:rPr>
                    <w:drawing>
                      <wp:anchor distT="0" distB="0" distL="114300" distR="114300" simplePos="0" relativeHeight="251659264" behindDoc="0" locked="0" layoutInCell="1" allowOverlap="1">
                        <wp:simplePos x="0" y="0"/>
                        <wp:positionH relativeFrom="column">
                          <wp:posOffset>1306830</wp:posOffset>
                        </wp:positionH>
                        <wp:positionV relativeFrom="paragraph">
                          <wp:posOffset>335915</wp:posOffset>
                        </wp:positionV>
                        <wp:extent cx="251460" cy="0"/>
                        <wp:effectExtent l="0" t="0" r="0" b="0"/>
                        <wp:wrapNone/>
                        <wp:docPr id="11" name="图片_1"/>
                        <wp:cNvGraphicFramePr/>
                        <a:graphic xmlns:a="http://schemas.openxmlformats.org/drawingml/2006/main">
                          <a:graphicData uri="http://schemas.openxmlformats.org/drawingml/2006/picture">
                            <pic:pic xmlns:pic="http://schemas.openxmlformats.org/drawingml/2006/picture">
                              <pic:nvPicPr>
                                <pic:cNvPr id="11" name="图片_1"/>
                                <pic:cNvPicPr/>
                              </pic:nvPicPr>
                              <pic:blipFill>
                                <a:blip r:embed="rId9"/>
                                <a:stretch>
                                  <a:fillRect/>
                                </a:stretch>
                              </pic:blipFill>
                              <pic:spPr>
                                <a:xfrm>
                                  <a:off x="0" y="0"/>
                                  <a:ext cx="251460" cy="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8" w:space="0"/>
                      <w:lang w:val="en-US" w:eastAsia="zh-CN" w:bidi="ar"/>
                    </w:rPr>
                    <w:drawing>
                      <wp:anchor distT="0" distB="0" distL="114300" distR="114300" simplePos="0" relativeHeight="251659264" behindDoc="0" locked="0" layoutInCell="1" allowOverlap="1">
                        <wp:simplePos x="0" y="0"/>
                        <wp:positionH relativeFrom="column">
                          <wp:posOffset>2894330</wp:posOffset>
                        </wp:positionH>
                        <wp:positionV relativeFrom="paragraph">
                          <wp:posOffset>347345</wp:posOffset>
                        </wp:positionV>
                        <wp:extent cx="224790" cy="0"/>
                        <wp:effectExtent l="0" t="0" r="0" b="0"/>
                        <wp:wrapNone/>
                        <wp:docPr id="10" name="图片_2"/>
                        <wp:cNvGraphicFramePr/>
                        <a:graphic xmlns:a="http://schemas.openxmlformats.org/drawingml/2006/main">
                          <a:graphicData uri="http://schemas.openxmlformats.org/drawingml/2006/picture">
                            <pic:pic xmlns:pic="http://schemas.openxmlformats.org/drawingml/2006/picture">
                              <pic:nvPicPr>
                                <pic:cNvPr id="10" name="图片_2"/>
                                <pic:cNvPicPr/>
                              </pic:nvPicPr>
                              <pic:blipFill>
                                <a:blip r:embed="rId9"/>
                                <a:stretch>
                                  <a:fillRect/>
                                </a:stretch>
                              </pic:blipFill>
                              <pic:spPr>
                                <a:xfrm>
                                  <a:off x="0" y="0"/>
                                  <a:ext cx="224790" cy="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lang w:val="en-US" w:eastAsia="zh-CN" w:bidi="ar"/>
                    </w:rPr>
                    <w:t>▲前排档板材料为厚≥9mm胶合板，表面贴≥0.</w:t>
                  </w: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mm防火板，与台面同色。</w:t>
                  </w: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BC5AA">
                  <w:pPr>
                    <w:jc w:val="center"/>
                    <w:rPr>
                      <w:rFonts w:hint="eastAsia" w:ascii="宋体" w:hAnsi="宋体" w:eastAsia="宋体" w:cs="宋体"/>
                      <w:i w:val="0"/>
                      <w:iCs w:val="0"/>
                      <w:color w:val="000000"/>
                      <w:sz w:val="20"/>
                      <w:szCs w:val="20"/>
                      <w:u w:val="none"/>
                    </w:rPr>
                  </w:pPr>
                </w:p>
              </w:tc>
            </w:tr>
            <w:tr w14:paraId="68D46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47" w:type="pct"/>
                  <w:vMerge w:val="continue"/>
                  <w:tcBorders>
                    <w:top w:val="single" w:color="000000" w:sz="4" w:space="0"/>
                    <w:left w:val="single" w:color="000000" w:sz="4" w:space="0"/>
                    <w:bottom w:val="nil"/>
                    <w:right w:val="single" w:color="000000" w:sz="4" w:space="0"/>
                  </w:tcBorders>
                  <w:shd w:val="clear" w:color="auto" w:fill="auto"/>
                  <w:vAlign w:val="center"/>
                </w:tcPr>
                <w:p w14:paraId="6D24F6D5">
                  <w:pPr>
                    <w:jc w:val="center"/>
                    <w:rPr>
                      <w:rFonts w:hint="eastAsia" w:ascii="宋体" w:hAnsi="宋体" w:eastAsia="宋体" w:cs="宋体"/>
                      <w:i w:val="0"/>
                      <w:iCs w:val="0"/>
                      <w:color w:val="000000"/>
                      <w:sz w:val="21"/>
                      <w:szCs w:val="21"/>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218BC">
                  <w:pPr>
                    <w:jc w:val="center"/>
                    <w:rPr>
                      <w:rFonts w:hint="eastAsia" w:ascii="宋体" w:hAnsi="宋体" w:eastAsia="宋体" w:cs="宋体"/>
                      <w:i w:val="0"/>
                      <w:iCs w:val="0"/>
                      <w:color w:val="000000"/>
                      <w:sz w:val="21"/>
                      <w:szCs w:val="21"/>
                      <w:u w:val="none"/>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657A4">
                  <w:pPr>
                    <w:jc w:val="center"/>
                    <w:rPr>
                      <w:rFonts w:hint="eastAsia" w:ascii="宋体" w:hAnsi="宋体" w:eastAsia="宋体" w:cs="宋体"/>
                      <w:i w:val="0"/>
                      <w:iCs w:val="0"/>
                      <w:color w:val="000000"/>
                      <w:sz w:val="24"/>
                      <w:szCs w:val="24"/>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DA5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939" w:type="pct"/>
                  <w:tcBorders>
                    <w:top w:val="nil"/>
                    <w:left w:val="single" w:color="000000" w:sz="8" w:space="0"/>
                    <w:bottom w:val="single" w:color="000000" w:sz="8" w:space="0"/>
                    <w:right w:val="single" w:color="000000" w:sz="8" w:space="0"/>
                  </w:tcBorders>
                  <w:shd w:val="clear" w:color="auto" w:fill="auto"/>
                  <w:vAlign w:val="center"/>
                </w:tcPr>
                <w:p w14:paraId="76E695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▲支撑件：采用冷轧钢板冲压成型，厚度≥1.8mm，安装高度与写字板两层结构高度要求相符，表面静电喷涂，经高温固化成型，表面光滑，附着力好，无毛刺，无焊接。</w:t>
                  </w: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57879">
                  <w:pPr>
                    <w:jc w:val="center"/>
                    <w:rPr>
                      <w:rFonts w:hint="eastAsia" w:ascii="宋体" w:hAnsi="宋体" w:eastAsia="宋体" w:cs="宋体"/>
                      <w:i w:val="0"/>
                      <w:iCs w:val="0"/>
                      <w:color w:val="000000"/>
                      <w:sz w:val="20"/>
                      <w:szCs w:val="20"/>
                      <w:u w:val="none"/>
                    </w:rPr>
                  </w:pPr>
                </w:p>
              </w:tc>
            </w:tr>
            <w:tr w14:paraId="6D242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547" w:type="pct"/>
                  <w:vMerge w:val="continue"/>
                  <w:tcBorders>
                    <w:top w:val="single" w:color="000000" w:sz="4" w:space="0"/>
                    <w:left w:val="single" w:color="000000" w:sz="4" w:space="0"/>
                    <w:bottom w:val="nil"/>
                    <w:right w:val="single" w:color="000000" w:sz="4" w:space="0"/>
                  </w:tcBorders>
                  <w:shd w:val="clear" w:color="auto" w:fill="auto"/>
                  <w:vAlign w:val="center"/>
                </w:tcPr>
                <w:p w14:paraId="712FFD40">
                  <w:pPr>
                    <w:jc w:val="center"/>
                    <w:rPr>
                      <w:rFonts w:hint="eastAsia" w:ascii="宋体" w:hAnsi="宋体" w:eastAsia="宋体" w:cs="宋体"/>
                      <w:i w:val="0"/>
                      <w:iCs w:val="0"/>
                      <w:color w:val="000000"/>
                      <w:sz w:val="21"/>
                      <w:szCs w:val="21"/>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E393D">
                  <w:pPr>
                    <w:jc w:val="center"/>
                    <w:rPr>
                      <w:rFonts w:hint="eastAsia" w:ascii="宋体" w:hAnsi="宋体" w:eastAsia="宋体" w:cs="宋体"/>
                      <w:i w:val="0"/>
                      <w:iCs w:val="0"/>
                      <w:color w:val="000000"/>
                      <w:sz w:val="21"/>
                      <w:szCs w:val="21"/>
                      <w:u w:val="none"/>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17212">
                  <w:pPr>
                    <w:jc w:val="center"/>
                    <w:rPr>
                      <w:rFonts w:hint="eastAsia" w:ascii="宋体" w:hAnsi="宋体" w:eastAsia="宋体" w:cs="宋体"/>
                      <w:i w:val="0"/>
                      <w:iCs w:val="0"/>
                      <w:color w:val="000000"/>
                      <w:sz w:val="24"/>
                      <w:szCs w:val="24"/>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D6F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939" w:type="pct"/>
                  <w:tcBorders>
                    <w:top w:val="nil"/>
                    <w:left w:val="single" w:color="000000" w:sz="8" w:space="0"/>
                    <w:bottom w:val="single" w:color="000000" w:sz="8" w:space="0"/>
                    <w:right w:val="single" w:color="000000" w:sz="8" w:space="0"/>
                  </w:tcBorders>
                  <w:shd w:val="clear" w:color="auto" w:fill="auto"/>
                  <w:vAlign w:val="center"/>
                </w:tcPr>
                <w:p w14:paraId="3D84FB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回复机构：采用铝合金一体压铸成型，内置加强筋及重力块，将连接件与重力回复机构融合为一体，作为座板与站脚之间连接机构的同时，也作为回复机构，使座板具有可回复功能。</w:t>
                  </w: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67A3B">
                  <w:pPr>
                    <w:jc w:val="center"/>
                    <w:rPr>
                      <w:rFonts w:hint="eastAsia" w:ascii="宋体" w:hAnsi="宋体" w:eastAsia="宋体" w:cs="宋体"/>
                      <w:i w:val="0"/>
                      <w:iCs w:val="0"/>
                      <w:color w:val="000000"/>
                      <w:sz w:val="20"/>
                      <w:szCs w:val="20"/>
                      <w:u w:val="none"/>
                    </w:rPr>
                  </w:pPr>
                </w:p>
              </w:tc>
            </w:tr>
            <w:tr w14:paraId="359DC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47" w:type="pct"/>
                  <w:vMerge w:val="continue"/>
                  <w:tcBorders>
                    <w:top w:val="single" w:color="000000" w:sz="4" w:space="0"/>
                    <w:left w:val="single" w:color="000000" w:sz="4" w:space="0"/>
                    <w:bottom w:val="nil"/>
                    <w:right w:val="single" w:color="000000" w:sz="4" w:space="0"/>
                  </w:tcBorders>
                  <w:shd w:val="clear" w:color="auto" w:fill="auto"/>
                  <w:vAlign w:val="center"/>
                </w:tcPr>
                <w:p w14:paraId="2FDA0913">
                  <w:pPr>
                    <w:jc w:val="center"/>
                    <w:rPr>
                      <w:rFonts w:hint="eastAsia" w:ascii="宋体" w:hAnsi="宋体" w:eastAsia="宋体" w:cs="宋体"/>
                      <w:i w:val="0"/>
                      <w:iCs w:val="0"/>
                      <w:color w:val="000000"/>
                      <w:sz w:val="21"/>
                      <w:szCs w:val="21"/>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95F6C">
                  <w:pPr>
                    <w:jc w:val="center"/>
                    <w:rPr>
                      <w:rFonts w:hint="eastAsia" w:ascii="宋体" w:hAnsi="宋体" w:eastAsia="宋体" w:cs="宋体"/>
                      <w:i w:val="0"/>
                      <w:iCs w:val="0"/>
                      <w:color w:val="000000"/>
                      <w:sz w:val="21"/>
                      <w:szCs w:val="21"/>
                      <w:u w:val="none"/>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D70C0">
                  <w:pPr>
                    <w:jc w:val="center"/>
                    <w:rPr>
                      <w:rFonts w:hint="eastAsia" w:ascii="宋体" w:hAnsi="宋体" w:eastAsia="宋体" w:cs="宋体"/>
                      <w:i w:val="0"/>
                      <w:iCs w:val="0"/>
                      <w:color w:val="000000"/>
                      <w:sz w:val="24"/>
                      <w:szCs w:val="24"/>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4EB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939" w:type="pct"/>
                  <w:tcBorders>
                    <w:top w:val="nil"/>
                    <w:left w:val="single" w:color="000000" w:sz="8" w:space="0"/>
                    <w:bottom w:val="single" w:color="000000" w:sz="8" w:space="0"/>
                    <w:right w:val="single" w:color="000000" w:sz="8" w:space="0"/>
                  </w:tcBorders>
                  <w:shd w:val="clear" w:color="auto" w:fill="auto"/>
                  <w:vAlign w:val="center"/>
                </w:tcPr>
                <w:p w14:paraId="02BCDE3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回复机构：角码和站脚连接处采用隐藏式设计，保证无明显缝隙，将旋转轴结构隐藏在座挂钩内，具有防夹手、防座板脱落功能。</w:t>
                  </w: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17DEA">
                  <w:pPr>
                    <w:jc w:val="center"/>
                    <w:rPr>
                      <w:rFonts w:hint="eastAsia" w:ascii="宋体" w:hAnsi="宋体" w:eastAsia="宋体" w:cs="宋体"/>
                      <w:i w:val="0"/>
                      <w:iCs w:val="0"/>
                      <w:color w:val="000000"/>
                      <w:sz w:val="20"/>
                      <w:szCs w:val="20"/>
                      <w:u w:val="none"/>
                    </w:rPr>
                  </w:pPr>
                </w:p>
              </w:tc>
            </w:tr>
          </w:tbl>
          <w:p w14:paraId="61EEC186">
            <w:pPr>
              <w:widowControl/>
              <w:jc w:val="left"/>
              <w:textAlignment w:val="center"/>
              <w:rPr>
                <w:rFonts w:ascii="宋体" w:hAnsi="宋体" w:cs="宋体"/>
                <w:bCs/>
                <w:szCs w:val="21"/>
              </w:rPr>
            </w:pPr>
          </w:p>
        </w:tc>
      </w:tr>
      <w:tr w14:paraId="00A0C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54" w:type="dxa"/>
            <w:gridSpan w:val="2"/>
            <w:vAlign w:val="center"/>
          </w:tcPr>
          <w:p w14:paraId="5D896F6C">
            <w:pPr>
              <w:widowControl w:val="0"/>
              <w:numPr>
                <w:ilvl w:val="0"/>
                <w:numId w:val="0"/>
              </w:numPr>
              <w:spacing w:before="156" w:beforeLines="50" w:after="156" w:afterLines="50"/>
              <w:jc w:val="center"/>
              <w:rPr>
                <w:rFonts w:ascii="宋体" w:hAnsi="宋体" w:eastAsia="宋体" w:cs="宋体"/>
                <w:b/>
                <w:bCs/>
                <w:kern w:val="2"/>
                <w:sz w:val="21"/>
                <w:szCs w:val="21"/>
                <w:lang w:val="en-US" w:eastAsia="zh-CN" w:bidi="ar-SA"/>
              </w:rPr>
            </w:pPr>
            <w:r>
              <w:rPr>
                <w:rFonts w:hint="eastAsia" w:ascii="Times New Roman" w:hAnsi="Times New Roman" w:eastAsia="宋体" w:cs="Times New Roman"/>
                <w:b/>
                <w:bCs/>
                <w:kern w:val="2"/>
                <w:sz w:val="21"/>
                <w:szCs w:val="21"/>
                <w:lang w:val="en-US" w:eastAsia="zh-CN" w:bidi="ar-SA"/>
              </w:rPr>
              <w:t>说明</w:t>
            </w:r>
          </w:p>
        </w:tc>
        <w:tc>
          <w:tcPr>
            <w:tcW w:w="7668" w:type="dxa"/>
            <w:vAlign w:val="center"/>
          </w:tcPr>
          <w:p w14:paraId="5ECEC92D">
            <w:pPr>
              <w:spacing w:line="360" w:lineRule="auto"/>
              <w:jc w:val="left"/>
              <w:rPr>
                <w:rFonts w:ascii="宋体" w:hAnsi="宋体" w:cs="宋体"/>
                <w:color w:val="000000"/>
                <w:kern w:val="0"/>
                <w:szCs w:val="21"/>
                <w:lang w:val="zh-CN" w:bidi="zh-CN"/>
              </w:rPr>
            </w:pPr>
            <w:r>
              <w:rPr>
                <w:rFonts w:hint="eastAsia" w:ascii="宋体" w:hAnsi="宋体" w:cs="宋体"/>
                <w:color w:val="000000"/>
                <w:kern w:val="0"/>
                <w:szCs w:val="21"/>
                <w:lang w:val="zh-CN" w:bidi="zh-CN"/>
              </w:rPr>
              <w:t>打"★"号条款为实质性条款，若有任何一条负偏离或不满足则导致响应无效。</w:t>
            </w:r>
          </w:p>
          <w:p w14:paraId="2543790F">
            <w:pPr>
              <w:widowControl w:val="0"/>
              <w:numPr>
                <w:ilvl w:val="0"/>
                <w:numId w:val="0"/>
              </w:numPr>
              <w:spacing w:before="156" w:beforeLines="50" w:after="156" w:afterLines="50"/>
              <w:jc w:val="left"/>
              <w:rPr>
                <w:rFonts w:ascii="宋体" w:hAnsi="宋体" w:eastAsia="宋体" w:cs="宋体"/>
                <w:kern w:val="2"/>
                <w:sz w:val="21"/>
                <w:szCs w:val="21"/>
                <w:lang w:val="en-US" w:eastAsia="zh-CN" w:bidi="ar-SA"/>
              </w:rPr>
            </w:pPr>
            <w:r>
              <w:rPr>
                <w:rFonts w:hint="eastAsia" w:ascii="宋体" w:hAnsi="宋体" w:eastAsia="宋体" w:cs="宋体"/>
                <w:color w:val="000000"/>
                <w:kern w:val="2"/>
                <w:sz w:val="21"/>
                <w:szCs w:val="21"/>
                <w:lang w:val="en-US" w:eastAsia="zh-CN" w:bidi="ar-SA"/>
              </w:rPr>
              <w:t>打</w:t>
            </w:r>
            <w:r>
              <w:rPr>
                <w:rFonts w:hint="eastAsia" w:ascii="宋体" w:hAnsi="宋体" w:eastAsia="宋体" w:cs="宋体"/>
                <w:color w:val="000000"/>
                <w:kern w:val="2"/>
                <w:sz w:val="21"/>
                <w:szCs w:val="21"/>
                <w:lang w:val="en-US" w:eastAsia="zh-CN" w:bidi="en-US"/>
              </w:rPr>
              <w:t>"▲</w:t>
            </w:r>
            <w:r>
              <w:rPr>
                <w:rFonts w:hint="eastAsia" w:ascii="宋体" w:hAnsi="宋体" w:eastAsia="宋体" w:cs="宋体"/>
                <w:color w:val="000000"/>
                <w:kern w:val="2"/>
                <w:sz w:val="21"/>
                <w:szCs w:val="21"/>
                <w:lang w:val="en-US" w:eastAsia="zh-CN" w:bidi="ar-SA"/>
              </w:rPr>
              <w:t>"号条款为重要技术参数，若有部分"▲"条款未响应或不满足，将导致其响应性评审加重扣分，但不作为无效响应条款。</w:t>
            </w:r>
          </w:p>
        </w:tc>
      </w:tr>
    </w:tbl>
    <w:p w14:paraId="154848A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324272"/>
    <w:multiLevelType w:val="multilevel"/>
    <w:tmpl w:val="79324272"/>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B8439CE"/>
    <w:multiLevelType w:val="multilevel"/>
    <w:tmpl w:val="7B8439CE"/>
    <w:lvl w:ilvl="0" w:tentative="0">
      <w:start w:val="1"/>
      <w:numFmt w:val="chineseCountingThousand"/>
      <w:pStyle w:val="8"/>
      <w:suff w:val="nothing"/>
      <w:lvlText w:val="%1、"/>
      <w:lvlJc w:val="left"/>
      <w:pPr>
        <w:ind w:left="1128" w:hanging="420"/>
      </w:pPr>
      <w:rPr>
        <w:rFonts w:hint="eastAsia"/>
        <w:b/>
        <w:bCs/>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513612"/>
    <w:rsid w:val="030F7D24"/>
    <w:rsid w:val="1D513612"/>
    <w:rsid w:val="31327262"/>
    <w:rsid w:val="3C904FCC"/>
    <w:rsid w:val="5B4D241F"/>
    <w:rsid w:val="5B826911"/>
    <w:rsid w:val="626F283B"/>
    <w:rsid w:val="6A110915"/>
    <w:rsid w:val="760F1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b/>
      <w:kern w:val="44"/>
      <w:sz w:val="32"/>
      <w:szCs w:val="20"/>
      <w:lang w:val="zh-CN"/>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qFormat/>
    <w:uiPriority w:val="0"/>
    <w:rPr>
      <w:rFonts w:eastAsia="宋体" w:asciiTheme="minorAscii" w:hAnsiTheme="minorAscii"/>
      <w:color w:val="000000" w:themeColor="text1"/>
      <w:szCs w:val="22"/>
      <w14:textFill>
        <w14:solidFill>
          <w14:schemeClr w14:val="tx1"/>
        </w14:solidFill>
      </w14:textFill>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标题2."/>
    <w:basedOn w:val="1"/>
    <w:qFormat/>
    <w:uiPriority w:val="0"/>
    <w:pPr>
      <w:numPr>
        <w:ilvl w:val="0"/>
        <w:numId w:val="1"/>
      </w:numPr>
    </w:pPr>
    <w:rPr>
      <w:rFonts w:ascii="Times New Roman" w:hAnsi="Times New Roman"/>
    </w:rPr>
  </w:style>
  <w:style w:type="paragraph" w:styleId="9">
    <w:name w:val="List Paragraph"/>
    <w:basedOn w:val="1"/>
    <w:qFormat/>
    <w:uiPriority w:val="99"/>
    <w:pPr>
      <w:ind w:firstLine="420" w:firstLineChars="200"/>
    </w:pPr>
  </w:style>
  <w:style w:type="paragraph" w:customStyle="1" w:styleId="10">
    <w:name w:val="其他"/>
    <w:basedOn w:val="1"/>
    <w:qFormat/>
    <w:uiPriority w:val="0"/>
    <w:pPr>
      <w:shd w:val="clear" w:color="auto" w:fill="FFFFFF"/>
      <w:spacing w:after="140" w:line="254" w:lineRule="auto"/>
      <w:ind w:firstLine="400"/>
      <w:jc w:val="left"/>
    </w:pPr>
    <w:rPr>
      <w:rFonts w:ascii="宋体" w:hAnsi="宋体" w:cs="宋体"/>
      <w:kern w:val="0"/>
      <w:sz w:val="19"/>
      <w:szCs w:val="19"/>
      <w:lang w:val="zh-CN" w:bidi="zh-CN"/>
    </w:rPr>
  </w:style>
  <w:style w:type="paragraph" w:customStyle="1" w:styleId="11">
    <w:name w:val="表格文字"/>
    <w:basedOn w:val="1"/>
    <w:qFormat/>
    <w:uiPriority w:val="0"/>
    <w:pPr>
      <w:spacing w:before="25" w:after="25" w:line="300" w:lineRule="auto"/>
    </w:pPr>
    <w:rPr>
      <w:rFonts w:ascii="Times" w:hAnsi="Time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1360</Words>
  <Characters>1442</Characters>
  <Lines>0</Lines>
  <Paragraphs>0</Paragraphs>
  <TotalTime>27</TotalTime>
  <ScaleCrop>false</ScaleCrop>
  <LinksUpToDate>false</LinksUpToDate>
  <CharactersWithSpaces>1445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2025-05-06T08:36:00Z</dcterms:created>
  <dc:creator>德工</dc:creator>
  <cp:lastModifiedBy>李工</cp:lastModifiedBy>
  <dcterms:modified xsi:type="dcterms:W3CDTF">2026-05-12T10:27:19Z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A93BEB0D945C4C0897C12FAB38570093_13</vt:lpwstr>
  </property>
  <property fmtid="{D5CDD505-2E9C-101B-9397-08002B2CF9AE}" pid="4" name="KSOTemplateDocerSaveRecord">
    <vt:lpwstr>eyJoZGlkIjoiZDZjNzFjZDQ4NTQxZjI4MDYzNzQzNDQ3YWNjODRiMGYiLCJ1c2VySWQiOiIxMTQ3ODc2OTMxIn0=</vt:lpwstr>
  </property>
</Properties>
</file>